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69" w:rsidRDefault="00D30269">
      <w:pPr>
        <w:jc w:val="center"/>
        <w:rPr>
          <w:rFonts w:ascii="Arial" w:hAnsi="Arial"/>
          <w:sz w:val="20"/>
          <w:u w:val="single"/>
        </w:rPr>
      </w:pPr>
      <w:proofErr w:type="gramStart"/>
      <w:r>
        <w:rPr>
          <w:rFonts w:ascii="Arial" w:hAnsi="Arial"/>
          <w:sz w:val="20"/>
        </w:rPr>
        <w:t>RESOLUTION NO.</w:t>
      </w:r>
      <w:proofErr w:type="gramEnd"/>
      <w:r>
        <w:rPr>
          <w:rFonts w:ascii="Arial" w:hAnsi="Arial"/>
          <w:sz w:val="20"/>
        </w:rPr>
        <w:t xml:space="preserve"> </w:t>
      </w:r>
      <w:r w:rsidR="001F3F75">
        <w:rPr>
          <w:rFonts w:ascii="Arial" w:hAnsi="Arial"/>
          <w:sz w:val="20"/>
        </w:rPr>
        <w:t>1</w:t>
      </w:r>
      <w:r>
        <w:rPr>
          <w:rFonts w:ascii="Arial" w:hAnsi="Arial"/>
          <w:sz w:val="20"/>
        </w:rPr>
        <w:t xml:space="preserve">0 - </w:t>
      </w:r>
      <w:r>
        <w:rPr>
          <w:rFonts w:ascii="Arial" w:hAnsi="Arial"/>
          <w:sz w:val="20"/>
          <w:u w:val="single"/>
        </w:rPr>
        <w:tab/>
      </w:r>
      <w:r>
        <w:rPr>
          <w:rFonts w:ascii="Arial" w:hAnsi="Arial"/>
          <w:sz w:val="20"/>
          <w:u w:val="single"/>
        </w:rPr>
        <w:tab/>
      </w:r>
    </w:p>
    <w:p w:rsidR="00D30269" w:rsidRDefault="00D30269">
      <w:pPr>
        <w:jc w:val="center"/>
        <w:rPr>
          <w:rFonts w:ascii="Arial" w:hAnsi="Arial"/>
          <w:sz w:val="20"/>
          <w:u w:val="single"/>
        </w:rPr>
      </w:pPr>
    </w:p>
    <w:p w:rsidR="00D30269" w:rsidRDefault="00D30269">
      <w:pPr>
        <w:jc w:val="center"/>
        <w:rPr>
          <w:rFonts w:ascii="Arial" w:hAnsi="Arial"/>
          <w:sz w:val="20"/>
        </w:rPr>
      </w:pPr>
    </w:p>
    <w:p w:rsidR="00D30269" w:rsidRDefault="00D30269">
      <w:pPr>
        <w:pStyle w:val="BlockText"/>
        <w:ind w:left="900" w:right="990"/>
        <w:rPr>
          <w:rFonts w:ascii="Arial" w:hAnsi="Arial"/>
          <w:sz w:val="20"/>
        </w:rPr>
      </w:pPr>
      <w:r>
        <w:rPr>
          <w:rFonts w:ascii="Arial" w:hAnsi="Arial"/>
          <w:sz w:val="20"/>
        </w:rPr>
        <w:t xml:space="preserve">A RESOLUTION RELATING TO </w:t>
      </w:r>
      <w:r w:rsidR="00FE5DD7" w:rsidRPr="00BE4D62">
        <w:rPr>
          <w:rFonts w:ascii="Arial" w:hAnsi="Arial"/>
          <w:b/>
          <w:sz w:val="20"/>
        </w:rPr>
        <w:t>W.O. 0</w:t>
      </w:r>
      <w:r w:rsidR="001F3F75">
        <w:rPr>
          <w:rFonts w:ascii="Arial" w:hAnsi="Arial"/>
          <w:b/>
          <w:sz w:val="20"/>
        </w:rPr>
        <w:t>4-12—PHASE 3, ALKALI CREEK ROAD MAINTENANCE AND SLOPE RECONSTRUCTION</w:t>
      </w:r>
      <w:r>
        <w:rPr>
          <w:rFonts w:ascii="Arial" w:hAnsi="Arial"/>
          <w:sz w:val="20"/>
        </w:rPr>
        <w:t>; ORDERING THE PROGRAM FOR THE PURPOSE OF UNDERTAKING CERTAIN LOCAL IMPROVEMENTS AND FINANCING THE COSTS THEREOF AND INCIDENTAL THERETO THROUGH THE ISSUANCE OF SIDEWALK, CURB AND GUTTER IMPROVEMENT BONDS SECURED BY THE CITY’S SPECIAL IMPROVEMENT DISTRICT REVOLVING FUND AND ESTABLISHING COMPLIANCE WITH REIMBURSEMENT BOND REGULATIONS UNDER THE INTERNAL REVENUE CODE.</w:t>
      </w:r>
    </w:p>
    <w:p w:rsidR="00D30269" w:rsidRDefault="00D30269">
      <w:pPr>
        <w:pStyle w:val="BlockText"/>
        <w:ind w:left="0" w:right="0"/>
        <w:rPr>
          <w:rFonts w:ascii="Arial" w:hAnsi="Arial"/>
          <w:sz w:val="20"/>
        </w:rPr>
      </w:pPr>
      <w:r>
        <w:rPr>
          <w:rFonts w:ascii="Arial" w:hAnsi="Arial"/>
          <w:sz w:val="20"/>
        </w:rPr>
        <w:tab/>
      </w:r>
    </w:p>
    <w:p w:rsidR="00D30269" w:rsidRDefault="00D30269">
      <w:pPr>
        <w:pStyle w:val="BlockText"/>
        <w:ind w:left="0" w:right="0"/>
        <w:rPr>
          <w:rFonts w:ascii="Arial" w:hAnsi="Arial"/>
          <w:sz w:val="20"/>
        </w:rPr>
      </w:pPr>
    </w:p>
    <w:p w:rsidR="00D30269" w:rsidRDefault="00D30269">
      <w:pPr>
        <w:pStyle w:val="BlockText"/>
        <w:ind w:left="0" w:right="0"/>
        <w:rPr>
          <w:rFonts w:ascii="Arial" w:hAnsi="Arial"/>
          <w:sz w:val="20"/>
        </w:rPr>
      </w:pPr>
      <w:r>
        <w:rPr>
          <w:rFonts w:ascii="Arial" w:hAnsi="Arial"/>
          <w:sz w:val="20"/>
        </w:rPr>
        <w:tab/>
        <w:t xml:space="preserve">BE IT RESOLVED by the City Council of the City of </w:t>
      </w:r>
      <w:smartTag w:uri="urn:schemas-microsoft-com:office:smarttags" w:element="City">
        <w:r>
          <w:rPr>
            <w:rFonts w:ascii="Arial" w:hAnsi="Arial"/>
            <w:sz w:val="20"/>
          </w:rPr>
          <w:t>Billings</w:t>
        </w:r>
      </w:smartTag>
      <w:r>
        <w:rPr>
          <w:rFonts w:ascii="Arial" w:hAnsi="Arial"/>
          <w:sz w:val="20"/>
        </w:rPr>
        <w:t xml:space="preserve"> (the “City”), </w:t>
      </w:r>
      <w:smartTag w:uri="urn:schemas-microsoft-com:office:smarttags" w:element="State">
        <w:smartTag w:uri="urn:schemas-microsoft-com:office:smarttags" w:element="place">
          <w:r>
            <w:rPr>
              <w:rFonts w:ascii="Arial" w:hAnsi="Arial"/>
              <w:sz w:val="20"/>
            </w:rPr>
            <w:t>Montana</w:t>
          </w:r>
        </w:smartTag>
      </w:smartTag>
      <w:r>
        <w:rPr>
          <w:rFonts w:ascii="Arial" w:hAnsi="Arial"/>
          <w:sz w:val="20"/>
        </w:rPr>
        <w:t>, as follows:</w:t>
      </w:r>
    </w:p>
    <w:p w:rsidR="00D30269" w:rsidRDefault="00D30269">
      <w:pPr>
        <w:pStyle w:val="BlockText"/>
        <w:ind w:left="0" w:right="0"/>
        <w:rPr>
          <w:rFonts w:ascii="Arial" w:hAnsi="Arial"/>
          <w:sz w:val="20"/>
        </w:rPr>
      </w:pPr>
      <w:r>
        <w:rPr>
          <w:rFonts w:ascii="Arial" w:hAnsi="Arial"/>
          <w:sz w:val="20"/>
        </w:rPr>
        <w:tab/>
      </w:r>
    </w:p>
    <w:p w:rsidR="00D30269" w:rsidRDefault="00D30269">
      <w:pPr>
        <w:pStyle w:val="BlockText"/>
        <w:ind w:left="0" w:right="0" w:firstLine="720"/>
        <w:rPr>
          <w:rFonts w:ascii="Arial" w:hAnsi="Arial"/>
          <w:sz w:val="20"/>
        </w:rPr>
      </w:pPr>
      <w:proofErr w:type="gramStart"/>
      <w:r>
        <w:rPr>
          <w:rFonts w:ascii="Arial" w:hAnsi="Arial"/>
          <w:b/>
          <w:sz w:val="20"/>
        </w:rPr>
        <w:t>Section 1.</w:t>
      </w:r>
      <w:proofErr w:type="gramEnd"/>
      <w:r>
        <w:rPr>
          <w:rFonts w:ascii="Arial" w:hAnsi="Arial"/>
          <w:b/>
          <w:sz w:val="20"/>
        </w:rPr>
        <w:t xml:space="preserve">   </w:t>
      </w:r>
      <w:proofErr w:type="gramStart"/>
      <w:r>
        <w:rPr>
          <w:rFonts w:ascii="Arial" w:hAnsi="Arial"/>
          <w:b/>
          <w:sz w:val="20"/>
          <w:u w:val="single"/>
        </w:rPr>
        <w:t>Passage of Resolution of Intention</w:t>
      </w:r>
      <w:r>
        <w:rPr>
          <w:rFonts w:ascii="Arial" w:hAnsi="Arial"/>
          <w:b/>
          <w:sz w:val="20"/>
        </w:rPr>
        <w:t>.</w:t>
      </w:r>
      <w:proofErr w:type="gramEnd"/>
      <w:r>
        <w:rPr>
          <w:rFonts w:ascii="Arial" w:hAnsi="Arial"/>
          <w:sz w:val="20"/>
        </w:rPr>
        <w:t xml:space="preserve">   This Council, on </w:t>
      </w:r>
      <w:r w:rsidR="001F3F75">
        <w:rPr>
          <w:rFonts w:ascii="Arial" w:hAnsi="Arial"/>
          <w:b/>
          <w:bCs/>
          <w:sz w:val="20"/>
        </w:rPr>
        <w:t>March</w:t>
      </w:r>
      <w:r w:rsidR="00FE5DD7">
        <w:rPr>
          <w:rFonts w:ascii="Arial" w:hAnsi="Arial"/>
          <w:b/>
          <w:bCs/>
          <w:sz w:val="20"/>
        </w:rPr>
        <w:t xml:space="preserve"> 2</w:t>
      </w:r>
      <w:r w:rsidR="001F3F75">
        <w:rPr>
          <w:rFonts w:ascii="Arial" w:hAnsi="Arial"/>
          <w:b/>
          <w:bCs/>
          <w:sz w:val="20"/>
        </w:rPr>
        <w:t>2</w:t>
      </w:r>
      <w:r w:rsidR="00FE5DD7">
        <w:rPr>
          <w:rFonts w:ascii="Arial" w:hAnsi="Arial"/>
          <w:b/>
          <w:bCs/>
          <w:sz w:val="20"/>
        </w:rPr>
        <w:t>, 20</w:t>
      </w:r>
      <w:r w:rsidR="001F3F75">
        <w:rPr>
          <w:rFonts w:ascii="Arial" w:hAnsi="Arial"/>
          <w:b/>
          <w:bCs/>
          <w:sz w:val="20"/>
        </w:rPr>
        <w:t>1</w:t>
      </w:r>
      <w:r w:rsidR="00FE5DD7">
        <w:rPr>
          <w:rFonts w:ascii="Arial" w:hAnsi="Arial"/>
          <w:b/>
          <w:bCs/>
          <w:sz w:val="20"/>
        </w:rPr>
        <w:t>0</w:t>
      </w:r>
      <w:r>
        <w:rPr>
          <w:rFonts w:ascii="Arial" w:hAnsi="Arial"/>
          <w:sz w:val="20"/>
        </w:rPr>
        <w:t>, adopted Resolution No</w:t>
      </w:r>
      <w:r>
        <w:rPr>
          <w:rFonts w:ascii="Arial" w:hAnsi="Arial"/>
          <w:b/>
          <w:sz w:val="20"/>
        </w:rPr>
        <w:t xml:space="preserve">. </w:t>
      </w:r>
      <w:r w:rsidR="001F3F75">
        <w:rPr>
          <w:rFonts w:ascii="Arial" w:hAnsi="Arial"/>
          <w:b/>
          <w:sz w:val="20"/>
        </w:rPr>
        <w:t>10</w:t>
      </w:r>
      <w:r w:rsidR="00FE5DD7" w:rsidRPr="00FE5DD7">
        <w:rPr>
          <w:rFonts w:ascii="Arial" w:hAnsi="Arial"/>
          <w:b/>
          <w:sz w:val="20"/>
        </w:rPr>
        <w:t>-</w:t>
      </w:r>
      <w:r w:rsidR="00BE01D8">
        <w:rPr>
          <w:rFonts w:ascii="Arial" w:hAnsi="Arial"/>
          <w:b/>
          <w:sz w:val="20"/>
        </w:rPr>
        <w:t>18918</w:t>
      </w:r>
      <w:r>
        <w:rPr>
          <w:rFonts w:ascii="Arial" w:hAnsi="Arial"/>
          <w:b/>
          <w:sz w:val="20"/>
        </w:rPr>
        <w:t xml:space="preserve"> </w:t>
      </w:r>
      <w:r>
        <w:rPr>
          <w:rFonts w:ascii="Arial" w:hAnsi="Arial"/>
          <w:sz w:val="20"/>
        </w:rPr>
        <w:t xml:space="preserve">(the “Resolution of Intention”), pursuant to which this Council declared its intention to order in certain sidewalks, curb, gutter and street improvements, designated as </w:t>
      </w:r>
      <w:r>
        <w:rPr>
          <w:rFonts w:ascii="Arial" w:hAnsi="Arial"/>
          <w:b/>
          <w:sz w:val="20"/>
        </w:rPr>
        <w:t>W.O. 0</w:t>
      </w:r>
      <w:r w:rsidR="001F3F75">
        <w:rPr>
          <w:rFonts w:ascii="Arial" w:hAnsi="Arial"/>
          <w:b/>
          <w:sz w:val="20"/>
        </w:rPr>
        <w:t>4</w:t>
      </w:r>
      <w:r w:rsidR="00FE5DD7">
        <w:rPr>
          <w:rFonts w:ascii="Arial" w:hAnsi="Arial"/>
          <w:b/>
          <w:sz w:val="20"/>
        </w:rPr>
        <w:t>-</w:t>
      </w:r>
      <w:r w:rsidR="001F3F75">
        <w:rPr>
          <w:rFonts w:ascii="Arial" w:hAnsi="Arial"/>
          <w:b/>
          <w:sz w:val="20"/>
        </w:rPr>
        <w:t>12—Phase 3</w:t>
      </w:r>
      <w:r>
        <w:rPr>
          <w:rFonts w:ascii="Arial" w:hAnsi="Arial"/>
          <w:b/>
          <w:sz w:val="20"/>
        </w:rPr>
        <w:t xml:space="preserve"> </w:t>
      </w:r>
      <w:r>
        <w:rPr>
          <w:rFonts w:ascii="Arial" w:hAnsi="Arial"/>
          <w:sz w:val="20"/>
        </w:rPr>
        <w:t>(the “Project”) of the City, under Montana Code Annotated, Title 7, Chapter 14, Part 41, as amended, for the purpose of financing the costs of certain local improvements described generally therein (the “Improvements”) and paying costs incidental thereto, including costs associated with the sale and the security of sidewalk, curb and sidewalk, curb and gutter improvement bonds drawn on the Project (the “Bonds”), the creation and administration of the Project, and the funding of a deposit to the City’s Special Improvement District Revolving Fund (the “Revolving Fund”).</w:t>
      </w:r>
    </w:p>
    <w:p w:rsidR="00D30269" w:rsidRDefault="00D30269">
      <w:pPr>
        <w:pStyle w:val="BlockText"/>
        <w:ind w:left="0" w:right="0"/>
        <w:rPr>
          <w:rFonts w:ascii="Arial" w:hAnsi="Arial"/>
          <w:sz w:val="20"/>
        </w:rPr>
      </w:pPr>
      <w:r>
        <w:rPr>
          <w:rFonts w:ascii="Arial" w:hAnsi="Arial"/>
          <w:sz w:val="20"/>
        </w:rPr>
        <w:tab/>
      </w:r>
    </w:p>
    <w:p w:rsidR="00D30269" w:rsidRDefault="00D30269">
      <w:pPr>
        <w:pStyle w:val="BlockText"/>
        <w:ind w:left="0" w:right="0" w:firstLine="720"/>
        <w:rPr>
          <w:rFonts w:ascii="Arial" w:hAnsi="Arial"/>
          <w:sz w:val="20"/>
        </w:rPr>
      </w:pPr>
      <w:proofErr w:type="gramStart"/>
      <w:r>
        <w:rPr>
          <w:rFonts w:ascii="Arial" w:hAnsi="Arial"/>
          <w:b/>
          <w:sz w:val="20"/>
        </w:rPr>
        <w:t>Section 2.</w:t>
      </w:r>
      <w:proofErr w:type="gramEnd"/>
      <w:r>
        <w:rPr>
          <w:rFonts w:ascii="Arial" w:hAnsi="Arial"/>
          <w:b/>
          <w:sz w:val="20"/>
        </w:rPr>
        <w:t xml:space="preserve">   </w:t>
      </w:r>
      <w:proofErr w:type="gramStart"/>
      <w:r>
        <w:rPr>
          <w:rFonts w:ascii="Arial" w:hAnsi="Arial"/>
          <w:b/>
          <w:sz w:val="20"/>
          <w:u w:val="single"/>
        </w:rPr>
        <w:t>Notice and Public Hearing</w:t>
      </w:r>
      <w:r>
        <w:rPr>
          <w:rFonts w:ascii="Arial" w:hAnsi="Arial"/>
          <w:b/>
          <w:sz w:val="20"/>
        </w:rPr>
        <w:t>.</w:t>
      </w:r>
      <w:proofErr w:type="gramEnd"/>
      <w:r>
        <w:rPr>
          <w:rFonts w:ascii="Arial" w:hAnsi="Arial"/>
          <w:sz w:val="20"/>
        </w:rPr>
        <w:t xml:space="preserve">   Notice of passage of the Resolution of Intention was duly published and mailed in all respects in accordance with law, and on </w:t>
      </w:r>
      <w:r w:rsidR="001F3F75">
        <w:rPr>
          <w:rFonts w:ascii="Arial" w:hAnsi="Arial"/>
          <w:b/>
          <w:bCs/>
          <w:sz w:val="20"/>
        </w:rPr>
        <w:t>April 12</w:t>
      </w:r>
      <w:r w:rsidR="00FE5DD7">
        <w:rPr>
          <w:rFonts w:ascii="Arial" w:hAnsi="Arial"/>
          <w:b/>
          <w:bCs/>
          <w:sz w:val="20"/>
        </w:rPr>
        <w:t>, 20</w:t>
      </w:r>
      <w:r w:rsidR="001F3F75">
        <w:rPr>
          <w:rFonts w:ascii="Arial" w:hAnsi="Arial"/>
          <w:b/>
          <w:bCs/>
          <w:sz w:val="20"/>
        </w:rPr>
        <w:t>1</w:t>
      </w:r>
      <w:r w:rsidR="00FE5DD7">
        <w:rPr>
          <w:rFonts w:ascii="Arial" w:hAnsi="Arial"/>
          <w:b/>
          <w:bCs/>
          <w:sz w:val="20"/>
        </w:rPr>
        <w:t>0</w:t>
      </w:r>
      <w:r>
        <w:rPr>
          <w:rFonts w:ascii="Arial" w:hAnsi="Arial"/>
          <w:sz w:val="20"/>
        </w:rPr>
        <w:t>, this Council conducted a public hearing on the ordering in of the Project and the making of the Improvements.</w:t>
      </w:r>
    </w:p>
    <w:p w:rsidR="00D30269" w:rsidRDefault="00D30269">
      <w:pPr>
        <w:pStyle w:val="BlockText"/>
        <w:ind w:left="0" w:right="0"/>
        <w:rPr>
          <w:rFonts w:ascii="Arial" w:hAnsi="Arial"/>
          <w:sz w:val="20"/>
        </w:rPr>
      </w:pPr>
      <w:r>
        <w:rPr>
          <w:rFonts w:ascii="Arial" w:hAnsi="Arial"/>
          <w:sz w:val="20"/>
        </w:rPr>
        <w:tab/>
      </w:r>
    </w:p>
    <w:p w:rsidR="00D30269" w:rsidRDefault="00D30269">
      <w:pPr>
        <w:pStyle w:val="BlockText"/>
        <w:ind w:left="0" w:right="0" w:firstLine="720"/>
        <w:rPr>
          <w:rFonts w:ascii="Arial" w:hAnsi="Arial"/>
          <w:sz w:val="20"/>
        </w:rPr>
      </w:pPr>
      <w:proofErr w:type="gramStart"/>
      <w:r>
        <w:rPr>
          <w:rFonts w:ascii="Arial" w:hAnsi="Arial"/>
          <w:b/>
          <w:sz w:val="20"/>
        </w:rPr>
        <w:t>Section 3.</w:t>
      </w:r>
      <w:proofErr w:type="gramEnd"/>
      <w:r>
        <w:rPr>
          <w:rFonts w:ascii="Arial" w:hAnsi="Arial"/>
          <w:b/>
          <w:sz w:val="20"/>
        </w:rPr>
        <w:t xml:space="preserve">   </w:t>
      </w:r>
      <w:proofErr w:type="gramStart"/>
      <w:r>
        <w:rPr>
          <w:rFonts w:ascii="Arial" w:hAnsi="Arial"/>
          <w:b/>
          <w:sz w:val="20"/>
          <w:u w:val="single"/>
        </w:rPr>
        <w:t>Order</w:t>
      </w:r>
      <w:r>
        <w:rPr>
          <w:rFonts w:ascii="Arial" w:hAnsi="Arial"/>
          <w:b/>
          <w:sz w:val="20"/>
        </w:rPr>
        <w:t>.</w:t>
      </w:r>
      <w:proofErr w:type="gramEnd"/>
      <w:r>
        <w:rPr>
          <w:rFonts w:ascii="Arial" w:hAnsi="Arial"/>
          <w:b/>
          <w:sz w:val="20"/>
        </w:rPr>
        <w:t xml:space="preserve">   </w:t>
      </w:r>
      <w:r>
        <w:rPr>
          <w:rFonts w:ascii="Arial" w:hAnsi="Arial"/>
          <w:sz w:val="20"/>
        </w:rPr>
        <w:t xml:space="preserve">It is hereby ordered that the following improvements shall be constructed, reconstructed, repaired, </w:t>
      </w:r>
      <w:r w:rsidR="001F3F75">
        <w:rPr>
          <w:rFonts w:ascii="Arial" w:hAnsi="Arial"/>
          <w:sz w:val="20"/>
        </w:rPr>
        <w:t>and/</w:t>
      </w:r>
      <w:r>
        <w:rPr>
          <w:rFonts w:ascii="Arial" w:hAnsi="Arial"/>
          <w:sz w:val="20"/>
        </w:rPr>
        <w:t>or replaced:</w:t>
      </w:r>
    </w:p>
    <w:p w:rsidR="00D30269" w:rsidRDefault="00D30269">
      <w:pPr>
        <w:pStyle w:val="BlockText"/>
        <w:ind w:left="0" w:right="0" w:firstLine="720"/>
        <w:rPr>
          <w:rFonts w:ascii="Arial" w:hAnsi="Arial"/>
          <w:sz w:val="20"/>
        </w:rPr>
      </w:pPr>
    </w:p>
    <w:p w:rsidR="00D30269" w:rsidRDefault="00D30269">
      <w:pPr>
        <w:pStyle w:val="BlockText"/>
        <w:ind w:left="0" w:right="0"/>
        <w:rPr>
          <w:rFonts w:ascii="Arial" w:hAnsi="Arial"/>
          <w:sz w:val="20"/>
        </w:rPr>
      </w:pPr>
      <w:r>
        <w:rPr>
          <w:rFonts w:ascii="Arial" w:hAnsi="Arial"/>
          <w:sz w:val="20"/>
        </w:rPr>
        <w:tab/>
      </w:r>
      <w:r>
        <w:rPr>
          <w:rFonts w:ascii="Arial" w:hAnsi="Arial"/>
          <w:sz w:val="20"/>
        </w:rPr>
        <w:tab/>
        <w:t xml:space="preserve">See </w:t>
      </w:r>
      <w:r w:rsidRPr="00AA1EF5">
        <w:rPr>
          <w:rFonts w:ascii="Arial" w:hAnsi="Arial"/>
          <w:sz w:val="20"/>
        </w:rPr>
        <w:t>Exhibit “A” attached</w:t>
      </w:r>
      <w:r>
        <w:rPr>
          <w:rFonts w:ascii="Arial" w:hAnsi="Arial"/>
          <w:sz w:val="20"/>
        </w:rPr>
        <w:t xml:space="preserve"> hereto.</w:t>
      </w:r>
    </w:p>
    <w:p w:rsidR="00D30269" w:rsidRDefault="00D30269">
      <w:pPr>
        <w:pStyle w:val="BlockText"/>
        <w:ind w:left="0" w:right="0"/>
        <w:rPr>
          <w:rFonts w:ascii="Arial" w:hAnsi="Arial"/>
          <w:sz w:val="20"/>
        </w:rPr>
      </w:pPr>
    </w:p>
    <w:p w:rsidR="00D30269" w:rsidRDefault="00D30269">
      <w:pPr>
        <w:pStyle w:val="BlockText"/>
        <w:ind w:left="0" w:right="0"/>
        <w:rPr>
          <w:rFonts w:ascii="Arial" w:hAnsi="Arial"/>
          <w:sz w:val="20"/>
        </w:rPr>
      </w:pPr>
      <w:r>
        <w:rPr>
          <w:rFonts w:ascii="Arial" w:hAnsi="Arial"/>
          <w:sz w:val="20"/>
        </w:rPr>
        <w:tab/>
      </w:r>
      <w:proofErr w:type="gramStart"/>
      <w:r>
        <w:rPr>
          <w:rFonts w:ascii="Arial" w:hAnsi="Arial"/>
          <w:b/>
          <w:sz w:val="20"/>
        </w:rPr>
        <w:t>Section 4.</w:t>
      </w:r>
      <w:proofErr w:type="gramEnd"/>
      <w:r>
        <w:rPr>
          <w:rFonts w:ascii="Arial" w:hAnsi="Arial"/>
          <w:b/>
          <w:sz w:val="20"/>
        </w:rPr>
        <w:t xml:space="preserve">   </w:t>
      </w:r>
      <w:proofErr w:type="gramStart"/>
      <w:r>
        <w:rPr>
          <w:rFonts w:ascii="Arial" w:hAnsi="Arial"/>
          <w:b/>
          <w:sz w:val="20"/>
          <w:u w:val="single"/>
        </w:rPr>
        <w:t>Affected Properties</w:t>
      </w:r>
      <w:r>
        <w:rPr>
          <w:rFonts w:ascii="Arial" w:hAnsi="Arial"/>
          <w:b/>
          <w:sz w:val="20"/>
        </w:rPr>
        <w:t>.</w:t>
      </w:r>
      <w:proofErr w:type="gramEnd"/>
      <w:r>
        <w:rPr>
          <w:rFonts w:ascii="Arial" w:hAnsi="Arial"/>
          <w:sz w:val="20"/>
        </w:rPr>
        <w:t xml:space="preserve">   All properties which will be required to pay any portion of the </w:t>
      </w:r>
      <w:proofErr w:type="gramStart"/>
      <w:r>
        <w:rPr>
          <w:rFonts w:ascii="Arial" w:hAnsi="Arial"/>
          <w:sz w:val="20"/>
        </w:rPr>
        <w:t>costs</w:t>
      </w:r>
      <w:proofErr w:type="gramEnd"/>
      <w:r>
        <w:rPr>
          <w:rFonts w:ascii="Arial" w:hAnsi="Arial"/>
          <w:sz w:val="20"/>
        </w:rPr>
        <w:t xml:space="preserve"> of the improvements identified herein are identified in </w:t>
      </w:r>
      <w:r w:rsidRPr="00AA1EF5">
        <w:rPr>
          <w:rFonts w:ascii="Arial" w:hAnsi="Arial"/>
          <w:sz w:val="20"/>
        </w:rPr>
        <w:t>Exhibit “B” attached</w:t>
      </w:r>
      <w:r>
        <w:rPr>
          <w:rFonts w:ascii="Arial" w:hAnsi="Arial"/>
          <w:sz w:val="20"/>
        </w:rPr>
        <w:t xml:space="preserve"> hereto.</w:t>
      </w:r>
    </w:p>
    <w:p w:rsidR="00D30269" w:rsidRDefault="00D30269">
      <w:pPr>
        <w:pStyle w:val="BlockText"/>
        <w:ind w:left="0" w:right="0"/>
        <w:rPr>
          <w:rFonts w:ascii="Arial" w:hAnsi="Arial"/>
          <w:b/>
          <w:sz w:val="20"/>
        </w:rPr>
        <w:sectPr w:rsidR="00D30269">
          <w:headerReference w:type="default" r:id="rId7"/>
          <w:footerReference w:type="even" r:id="rId8"/>
          <w:footerReference w:type="default" r:id="rId9"/>
          <w:pgSz w:w="12240" w:h="15840"/>
          <w:pgMar w:top="1440" w:right="1440" w:bottom="1440" w:left="1440" w:header="720" w:footer="720" w:gutter="0"/>
          <w:pgNumType w:start="0"/>
          <w:cols w:space="720"/>
          <w:titlePg/>
        </w:sectPr>
      </w:pPr>
    </w:p>
    <w:p w:rsidR="00D30269" w:rsidRDefault="00D30269">
      <w:pPr>
        <w:pStyle w:val="BlockText"/>
        <w:ind w:right="0"/>
        <w:rPr>
          <w:rFonts w:ascii="Arial" w:hAnsi="Arial"/>
          <w:b/>
          <w:sz w:val="20"/>
        </w:rPr>
      </w:pPr>
    </w:p>
    <w:p w:rsidR="00D30269" w:rsidRDefault="00D30269">
      <w:pPr>
        <w:pStyle w:val="BlockText"/>
        <w:ind w:right="0"/>
        <w:rPr>
          <w:rFonts w:ascii="Arial" w:hAnsi="Arial"/>
          <w:b/>
          <w:sz w:val="20"/>
        </w:rPr>
      </w:pPr>
      <w:proofErr w:type="gramStart"/>
      <w:r>
        <w:rPr>
          <w:rFonts w:ascii="Arial" w:hAnsi="Arial"/>
          <w:b/>
          <w:sz w:val="20"/>
        </w:rPr>
        <w:t>Section 5.</w:t>
      </w:r>
      <w:proofErr w:type="gramEnd"/>
      <w:r>
        <w:rPr>
          <w:rFonts w:ascii="Arial" w:hAnsi="Arial"/>
          <w:b/>
          <w:sz w:val="20"/>
        </w:rPr>
        <w:t xml:space="preserve">   </w:t>
      </w:r>
      <w:proofErr w:type="gramStart"/>
      <w:r>
        <w:rPr>
          <w:rFonts w:ascii="Arial" w:hAnsi="Arial"/>
          <w:b/>
          <w:sz w:val="20"/>
          <w:u w:val="single"/>
        </w:rPr>
        <w:t>Reimbursement Expenditures</w:t>
      </w:r>
      <w:r>
        <w:rPr>
          <w:rFonts w:ascii="Arial" w:hAnsi="Arial"/>
          <w:b/>
          <w:sz w:val="20"/>
        </w:rPr>
        <w:t>.</w:t>
      </w:r>
      <w:proofErr w:type="gramEnd"/>
      <w:r>
        <w:rPr>
          <w:rFonts w:ascii="Arial" w:hAnsi="Arial"/>
          <w:b/>
          <w:sz w:val="20"/>
        </w:rPr>
        <w:t xml:space="preserve">  </w:t>
      </w:r>
    </w:p>
    <w:p w:rsidR="00D30269" w:rsidRDefault="00D30269">
      <w:pPr>
        <w:pStyle w:val="BlockText"/>
        <w:ind w:left="0" w:right="0"/>
        <w:rPr>
          <w:rFonts w:ascii="Arial" w:hAnsi="Arial"/>
          <w:sz w:val="20"/>
        </w:rPr>
      </w:pPr>
    </w:p>
    <w:p w:rsidR="00D30269" w:rsidRDefault="00D30269">
      <w:pPr>
        <w:pStyle w:val="BlockText"/>
        <w:numPr>
          <w:ilvl w:val="1"/>
          <w:numId w:val="1"/>
        </w:numPr>
        <w:tabs>
          <w:tab w:val="clear" w:pos="2145"/>
        </w:tabs>
        <w:ind w:left="0" w:right="0" w:firstLine="720"/>
        <w:rPr>
          <w:rFonts w:ascii="Arial" w:hAnsi="Arial"/>
          <w:sz w:val="20"/>
        </w:rPr>
      </w:pPr>
      <w:r>
        <w:rPr>
          <w:rFonts w:ascii="Arial" w:hAnsi="Arial"/>
          <w:sz w:val="20"/>
          <w:u w:val="single"/>
        </w:rPr>
        <w:t>Regulations</w:t>
      </w:r>
      <w:r>
        <w:rPr>
          <w:rFonts w:ascii="Arial" w:hAnsi="Arial"/>
          <w:sz w:val="20"/>
        </w:rPr>
        <w:t>.  The United States Department of Treasury has promulgated final regulations governing the use of proceeds of tax-exempt bonds, all or a portion of which are to be used to reimburse the City for project expenditures paid by the City prior to the date of issuance of such bonds. Those regulations (Treasury Regulations, Section 1.150-2) (the “Regulations”) require that the City adopt a statement of official intent to reimburse an original expenditure not later than 60 days after payment of the original expenditure. The Regulations also generally require that the bonds be issued and the reimbursement allocation made from the proceeds of the bonds within 18 months (or three years, if the reimbursement bond issue qualifies for the “small issuer” exception from the arbitrage rebate requirement) after the later of (</w:t>
      </w:r>
      <w:proofErr w:type="spellStart"/>
      <w:r>
        <w:rPr>
          <w:rFonts w:ascii="Arial" w:hAnsi="Arial"/>
          <w:sz w:val="20"/>
        </w:rPr>
        <w:t>i</w:t>
      </w:r>
      <w:proofErr w:type="spellEnd"/>
      <w:r>
        <w:rPr>
          <w:rFonts w:ascii="Arial" w:hAnsi="Arial"/>
          <w:sz w:val="20"/>
        </w:rPr>
        <w:t>) the date the expenditure is paid or (ii) the date the project is placed in service or abandoned, but (unless the issue qualifies for the “small issuer” exception from the arbitrage rebate requirement) in no event more than three years after the date the expenditure is paid. The Regulations generally permit reimbursement of capital expenditures and costs of issuance of the bonds.</w:t>
      </w:r>
    </w:p>
    <w:p w:rsidR="00D30269" w:rsidRDefault="00D30269">
      <w:pPr>
        <w:pStyle w:val="BlockText"/>
        <w:ind w:left="0" w:right="0"/>
        <w:rPr>
          <w:rFonts w:ascii="Arial" w:hAnsi="Arial"/>
          <w:sz w:val="20"/>
        </w:rPr>
      </w:pPr>
    </w:p>
    <w:p w:rsidR="00D30269" w:rsidRDefault="00D30269">
      <w:pPr>
        <w:pStyle w:val="BlockText"/>
        <w:numPr>
          <w:ilvl w:val="1"/>
          <w:numId w:val="1"/>
        </w:numPr>
        <w:tabs>
          <w:tab w:val="clear" w:pos="2145"/>
        </w:tabs>
        <w:ind w:left="0" w:right="0" w:firstLine="720"/>
        <w:rPr>
          <w:rFonts w:ascii="Arial" w:hAnsi="Arial"/>
          <w:sz w:val="20"/>
        </w:rPr>
      </w:pPr>
      <w:r>
        <w:rPr>
          <w:rFonts w:ascii="Arial" w:hAnsi="Arial"/>
          <w:sz w:val="20"/>
          <w:u w:val="single"/>
        </w:rPr>
        <w:t>Prior Expenditures</w:t>
      </w:r>
      <w:r>
        <w:rPr>
          <w:rFonts w:ascii="Arial" w:hAnsi="Arial"/>
          <w:sz w:val="20"/>
        </w:rPr>
        <w:t>.   Other than (</w:t>
      </w:r>
      <w:proofErr w:type="spellStart"/>
      <w:r>
        <w:rPr>
          <w:rFonts w:ascii="Arial" w:hAnsi="Arial"/>
          <w:sz w:val="20"/>
        </w:rPr>
        <w:t>i</w:t>
      </w:r>
      <w:proofErr w:type="spellEnd"/>
      <w:r>
        <w:rPr>
          <w:rFonts w:ascii="Arial" w:hAnsi="Arial"/>
          <w:sz w:val="20"/>
        </w:rPr>
        <w:t xml:space="preserve">) expenditures to be paid or reimbursed from sources other than the Bonds, (ii) expenditures permitted to be reimbursed under the transitional provisions contained in Section 1.150-2(j) (2) of the Regulations, (iii) expenditures constituting preliminary </w:t>
      </w:r>
      <w:r>
        <w:rPr>
          <w:rFonts w:ascii="Arial" w:hAnsi="Arial"/>
          <w:sz w:val="20"/>
        </w:rPr>
        <w:lastRenderedPageBreak/>
        <w:t xml:space="preserve">expenditures within the meaning of Section 1.150-2(f)(2) of the Regulations, or (iv) expenditures in a “de </w:t>
      </w:r>
      <w:proofErr w:type="spellStart"/>
      <w:r>
        <w:rPr>
          <w:rFonts w:ascii="Arial" w:hAnsi="Arial"/>
          <w:sz w:val="20"/>
        </w:rPr>
        <w:t>minimus</w:t>
      </w:r>
      <w:proofErr w:type="spellEnd"/>
      <w:r>
        <w:rPr>
          <w:rFonts w:ascii="Arial" w:hAnsi="Arial"/>
          <w:sz w:val="20"/>
        </w:rPr>
        <w:t>” amount (as defined in Section 1.150-2(f)(1) of the Regulations), no expenditures for the Improvements have been paid by the City before the date 60 days before the date of adoption of this resolution.</w:t>
      </w:r>
    </w:p>
    <w:p w:rsidR="00D30269" w:rsidRDefault="00D30269">
      <w:pPr>
        <w:pStyle w:val="BlockText"/>
        <w:ind w:right="0"/>
        <w:rPr>
          <w:rFonts w:ascii="Arial" w:hAnsi="Arial"/>
          <w:sz w:val="20"/>
          <w:u w:val="single"/>
        </w:rPr>
      </w:pPr>
    </w:p>
    <w:p w:rsidR="00D30269" w:rsidRDefault="00D30269">
      <w:pPr>
        <w:pStyle w:val="BlockText"/>
        <w:numPr>
          <w:ilvl w:val="1"/>
          <w:numId w:val="1"/>
        </w:numPr>
        <w:tabs>
          <w:tab w:val="clear" w:pos="2145"/>
        </w:tabs>
        <w:ind w:left="0" w:right="0" w:firstLine="720"/>
        <w:rPr>
          <w:rFonts w:ascii="Arial" w:hAnsi="Arial"/>
          <w:sz w:val="20"/>
        </w:rPr>
      </w:pPr>
      <w:r>
        <w:rPr>
          <w:rFonts w:ascii="Arial" w:hAnsi="Arial"/>
          <w:sz w:val="20"/>
          <w:u w:val="single"/>
        </w:rPr>
        <w:t>Declaration of Intent</w:t>
      </w:r>
      <w:r>
        <w:rPr>
          <w:rFonts w:ascii="Arial" w:hAnsi="Arial"/>
          <w:sz w:val="20"/>
        </w:rPr>
        <w:t xml:space="preserve">.   The City reasonably expects to reimburse the expenditures made for costs of the Improvements out of the proceeds of Bonds in an estimated maximum aggregate principal amount of </w:t>
      </w:r>
      <w:r w:rsidRPr="00922E59">
        <w:rPr>
          <w:rFonts w:ascii="Arial" w:hAnsi="Arial"/>
          <w:b/>
          <w:sz w:val="20"/>
        </w:rPr>
        <w:t>$</w:t>
      </w:r>
      <w:r w:rsidR="001F3F75" w:rsidRPr="00922E59">
        <w:rPr>
          <w:rFonts w:ascii="Arial" w:hAnsi="Arial"/>
          <w:b/>
          <w:sz w:val="20"/>
        </w:rPr>
        <w:t>11</w:t>
      </w:r>
      <w:r w:rsidR="00FE5DD7" w:rsidRPr="00922E59">
        <w:rPr>
          <w:rFonts w:ascii="Arial" w:hAnsi="Arial"/>
          <w:b/>
          <w:sz w:val="20"/>
        </w:rPr>
        <w:t>5</w:t>
      </w:r>
      <w:r w:rsidRPr="00922E59">
        <w:rPr>
          <w:rFonts w:ascii="Arial" w:hAnsi="Arial"/>
          <w:b/>
          <w:sz w:val="20"/>
        </w:rPr>
        <w:t>,000</w:t>
      </w:r>
      <w:r>
        <w:rPr>
          <w:rFonts w:ascii="Arial" w:hAnsi="Arial"/>
          <w:b/>
          <w:sz w:val="20"/>
        </w:rPr>
        <w:t xml:space="preserve"> </w:t>
      </w:r>
      <w:r>
        <w:rPr>
          <w:rFonts w:ascii="Arial" w:hAnsi="Arial"/>
          <w:sz w:val="20"/>
        </w:rPr>
        <w:t>after the date of payment of all or a portion of the costs of the Improvements. All reimbursed expenditures shall be capital expenditures, a cost of issuance of the Bonds or other expenditures eligible for reimbursement under Section 1.150-2(d</w:t>
      </w:r>
      <w:proofErr w:type="gramStart"/>
      <w:r>
        <w:rPr>
          <w:rFonts w:ascii="Arial" w:hAnsi="Arial"/>
          <w:sz w:val="20"/>
        </w:rPr>
        <w:t>)(</w:t>
      </w:r>
      <w:proofErr w:type="gramEnd"/>
      <w:r>
        <w:rPr>
          <w:rFonts w:ascii="Arial" w:hAnsi="Arial"/>
          <w:sz w:val="20"/>
        </w:rPr>
        <w:t>3) of the Regulations.</w:t>
      </w:r>
    </w:p>
    <w:p w:rsidR="00D30269" w:rsidRDefault="00D30269">
      <w:pPr>
        <w:pStyle w:val="BlockText"/>
        <w:ind w:left="0" w:right="0"/>
        <w:rPr>
          <w:rFonts w:ascii="Arial" w:hAnsi="Arial"/>
          <w:sz w:val="20"/>
        </w:rPr>
      </w:pPr>
    </w:p>
    <w:p w:rsidR="00D30269" w:rsidRDefault="00D30269">
      <w:pPr>
        <w:pStyle w:val="BlockText"/>
        <w:numPr>
          <w:ilvl w:val="1"/>
          <w:numId w:val="1"/>
        </w:numPr>
        <w:tabs>
          <w:tab w:val="clear" w:pos="2145"/>
        </w:tabs>
        <w:ind w:left="0" w:right="0" w:firstLine="720"/>
        <w:rPr>
          <w:rFonts w:ascii="Arial" w:hAnsi="Arial"/>
          <w:sz w:val="20"/>
        </w:rPr>
      </w:pPr>
      <w:r>
        <w:rPr>
          <w:rFonts w:ascii="Arial" w:hAnsi="Arial"/>
          <w:sz w:val="20"/>
          <w:u w:val="single"/>
        </w:rPr>
        <w:t>Budgetary Matters</w:t>
      </w:r>
      <w:r>
        <w:rPr>
          <w:rFonts w:ascii="Arial" w:hAnsi="Arial"/>
          <w:sz w:val="20"/>
        </w:rPr>
        <w:t>.   As of the date hereof, there are no City funds reserved, allocated on a long-term basis or otherwise set aside (or reasonably expected to be reserved, allocated on a long-term basis or otherwise set aside) to provide permanent financing for the expenditures related to the Improvements, other than pursuant to the issuance of the Bonds. The statement of intent contained in this resolution, therefore, is determined to be consistent with the city’s budgetary and financial circumstances as they exist or are reasonably foreseeable on the date hereof.</w:t>
      </w:r>
    </w:p>
    <w:p w:rsidR="00D30269" w:rsidRDefault="00D30269">
      <w:pPr>
        <w:pStyle w:val="BlockText"/>
        <w:ind w:left="0" w:right="0" w:firstLine="1440"/>
        <w:rPr>
          <w:rFonts w:ascii="Arial" w:hAnsi="Arial"/>
          <w:sz w:val="20"/>
        </w:rPr>
      </w:pPr>
    </w:p>
    <w:p w:rsidR="00D30269" w:rsidRDefault="00D30269">
      <w:pPr>
        <w:pStyle w:val="BlockText"/>
        <w:numPr>
          <w:ilvl w:val="1"/>
          <w:numId w:val="1"/>
        </w:numPr>
        <w:tabs>
          <w:tab w:val="clear" w:pos="2145"/>
        </w:tabs>
        <w:ind w:left="0" w:right="0" w:firstLine="720"/>
        <w:rPr>
          <w:rFonts w:ascii="Arial" w:hAnsi="Arial"/>
          <w:sz w:val="20"/>
        </w:rPr>
      </w:pPr>
      <w:r>
        <w:rPr>
          <w:rFonts w:ascii="Arial" w:hAnsi="Arial"/>
          <w:sz w:val="20"/>
          <w:u w:val="single"/>
        </w:rPr>
        <w:t>Reimbursement Allocations</w:t>
      </w:r>
      <w:r>
        <w:rPr>
          <w:rFonts w:ascii="Arial" w:hAnsi="Arial"/>
          <w:sz w:val="20"/>
        </w:rPr>
        <w:t>.   The City’s financial officer shall be responsible for making the “reimbursement allocations” described in the Regulations, being generally the transfer of the appropriate amount of proceeds of the bonds to reimburse the source of temporary financing used by the City to make prior payment of the costs of the Improvements. Each allocation shall be evidenced by an entry on the official books and records of the City maintained for the Bonds or the Improvements and shall specifically identify the actual original expenditure being reimbursed.</w:t>
      </w:r>
    </w:p>
    <w:p w:rsidR="00D30269" w:rsidRDefault="00D30269">
      <w:pPr>
        <w:pStyle w:val="BlockText"/>
        <w:ind w:left="0" w:right="0" w:firstLine="1440"/>
        <w:rPr>
          <w:rFonts w:ascii="Arial" w:hAnsi="Arial"/>
          <w:sz w:val="20"/>
        </w:rPr>
      </w:pPr>
    </w:p>
    <w:p w:rsidR="00D30269" w:rsidRDefault="00D30269">
      <w:pPr>
        <w:pStyle w:val="BlockText"/>
        <w:ind w:left="0" w:right="0" w:firstLine="720"/>
        <w:rPr>
          <w:rFonts w:ascii="Arial" w:hAnsi="Arial"/>
          <w:sz w:val="20"/>
        </w:rPr>
      </w:pPr>
      <w:proofErr w:type="gramStart"/>
      <w:r>
        <w:rPr>
          <w:rFonts w:ascii="Arial" w:hAnsi="Arial"/>
          <w:b/>
          <w:sz w:val="20"/>
        </w:rPr>
        <w:t>Section 6.</w:t>
      </w:r>
      <w:proofErr w:type="gramEnd"/>
      <w:r>
        <w:rPr>
          <w:rFonts w:ascii="Arial" w:hAnsi="Arial"/>
          <w:b/>
          <w:sz w:val="20"/>
        </w:rPr>
        <w:t xml:space="preserve">   </w:t>
      </w:r>
      <w:proofErr w:type="gramStart"/>
      <w:r>
        <w:rPr>
          <w:rFonts w:ascii="Arial" w:hAnsi="Arial"/>
          <w:b/>
          <w:sz w:val="20"/>
          <w:u w:val="single"/>
        </w:rPr>
        <w:t>Property Owner Option to Construct Improvements</w:t>
      </w:r>
      <w:r>
        <w:rPr>
          <w:rFonts w:ascii="Arial" w:hAnsi="Arial"/>
          <w:b/>
          <w:sz w:val="20"/>
        </w:rPr>
        <w:t>.</w:t>
      </w:r>
      <w:proofErr w:type="gramEnd"/>
      <w:r>
        <w:rPr>
          <w:rFonts w:ascii="Arial" w:hAnsi="Arial"/>
          <w:sz w:val="20"/>
        </w:rPr>
        <w:t xml:space="preserve">   Notice of passage of this Resolution shall be mailed to all affected property owners and said owners shall have thirty (30) days from the date of said Notice in which to install the ordered improvements at their cost and expense. In the event the owners do not take said action within the said thirty (30) day period, the City will install the improvements and will assess the costs thereof, all costs of administration and engineering and all bond issuance costs against the real property.</w:t>
      </w:r>
    </w:p>
    <w:p w:rsidR="00D30269" w:rsidRDefault="00D30269">
      <w:pPr>
        <w:pStyle w:val="BlockText"/>
        <w:ind w:right="0"/>
        <w:rPr>
          <w:rFonts w:ascii="Arial" w:hAnsi="Arial"/>
          <w:b/>
          <w:sz w:val="20"/>
        </w:rPr>
      </w:pPr>
    </w:p>
    <w:p w:rsidR="00D30269" w:rsidRDefault="00D30269">
      <w:pPr>
        <w:pStyle w:val="BlockText"/>
        <w:ind w:left="0" w:right="0"/>
        <w:rPr>
          <w:rFonts w:ascii="Arial" w:hAnsi="Arial"/>
          <w:sz w:val="20"/>
        </w:rPr>
      </w:pPr>
      <w:r>
        <w:rPr>
          <w:rFonts w:ascii="Arial" w:hAnsi="Arial"/>
          <w:sz w:val="20"/>
        </w:rPr>
        <w:tab/>
      </w:r>
      <w:r>
        <w:rPr>
          <w:rFonts w:ascii="Arial" w:hAnsi="Arial"/>
          <w:sz w:val="20"/>
        </w:rPr>
        <w:tab/>
        <w:t xml:space="preserve">PASSED AND ADOPTED by the City Council of the City of Billings, Montana, this </w:t>
      </w:r>
      <w:proofErr w:type="gramStart"/>
      <w:r w:rsidR="001F3F75">
        <w:rPr>
          <w:rFonts w:ascii="Arial" w:hAnsi="Arial"/>
          <w:sz w:val="20"/>
        </w:rPr>
        <w:t>1</w:t>
      </w:r>
      <w:r w:rsidR="00FE5DD7">
        <w:rPr>
          <w:rFonts w:ascii="Arial" w:hAnsi="Arial"/>
          <w:sz w:val="20"/>
        </w:rPr>
        <w:t>2</w:t>
      </w:r>
      <w:r w:rsidR="00DA09E3" w:rsidRPr="00DA09E3">
        <w:rPr>
          <w:rFonts w:ascii="Arial" w:hAnsi="Arial"/>
          <w:sz w:val="20"/>
          <w:vertAlign w:val="superscript"/>
        </w:rPr>
        <w:t>th</w:t>
      </w:r>
      <w:r w:rsidR="00DA09E3">
        <w:rPr>
          <w:rFonts w:ascii="Arial" w:hAnsi="Arial"/>
          <w:sz w:val="20"/>
        </w:rPr>
        <w:t xml:space="preserve"> </w:t>
      </w:r>
      <w:r>
        <w:rPr>
          <w:rFonts w:ascii="Arial" w:hAnsi="Arial"/>
          <w:sz w:val="20"/>
        </w:rPr>
        <w:t xml:space="preserve"> day</w:t>
      </w:r>
      <w:proofErr w:type="gramEnd"/>
      <w:r>
        <w:rPr>
          <w:rFonts w:ascii="Arial" w:hAnsi="Arial"/>
          <w:sz w:val="20"/>
        </w:rPr>
        <w:t xml:space="preserve"> of </w:t>
      </w:r>
      <w:r w:rsidR="001F3F75">
        <w:rPr>
          <w:rFonts w:ascii="Arial" w:hAnsi="Arial"/>
          <w:sz w:val="20"/>
        </w:rPr>
        <w:t>April, 2010</w:t>
      </w:r>
      <w:r>
        <w:rPr>
          <w:rFonts w:ascii="Arial" w:hAnsi="Arial"/>
          <w:sz w:val="20"/>
        </w:rPr>
        <w:t>.</w:t>
      </w:r>
    </w:p>
    <w:p w:rsidR="00D30269" w:rsidRDefault="00D30269">
      <w:pPr>
        <w:pStyle w:val="BlockText"/>
        <w:ind w:right="0"/>
        <w:rPr>
          <w:rFonts w:ascii="Arial" w:hAnsi="Arial"/>
          <w:sz w:val="20"/>
        </w:rPr>
      </w:pPr>
    </w:p>
    <w:p w:rsidR="00D30269" w:rsidRDefault="00D30269">
      <w:pPr>
        <w:pStyle w:val="BlockText"/>
        <w:ind w:right="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THE CITY OF </w:t>
      </w:r>
      <w:smartTag w:uri="urn:schemas-microsoft-com:office:smarttags" w:element="City">
        <w:smartTag w:uri="urn:schemas-microsoft-com:office:smarttags" w:element="place">
          <w:r>
            <w:rPr>
              <w:rFonts w:ascii="Arial" w:hAnsi="Arial"/>
              <w:sz w:val="20"/>
            </w:rPr>
            <w:t>BILLINGS</w:t>
          </w:r>
        </w:smartTag>
      </w:smartTag>
      <w:r>
        <w:rPr>
          <w:rFonts w:ascii="Arial" w:hAnsi="Arial"/>
          <w:sz w:val="20"/>
        </w:rPr>
        <w:t>:</w:t>
      </w:r>
    </w:p>
    <w:p w:rsidR="00D30269" w:rsidRDefault="00D30269">
      <w:pPr>
        <w:pStyle w:val="BlockText"/>
        <w:ind w:right="0"/>
        <w:rPr>
          <w:rFonts w:ascii="Arial" w:hAnsi="Arial"/>
          <w:sz w:val="20"/>
        </w:rPr>
      </w:pPr>
    </w:p>
    <w:p w:rsidR="00D30269" w:rsidRDefault="00D30269">
      <w:pPr>
        <w:pStyle w:val="BlockText"/>
        <w:ind w:right="0"/>
        <w:rPr>
          <w:rFonts w:ascii="Arial" w:hAnsi="Arial"/>
          <w:sz w:val="20"/>
        </w:rPr>
      </w:pPr>
      <w:r>
        <w:rPr>
          <w:rFonts w:ascii="Arial" w:hAnsi="Arial"/>
          <w:sz w:val="20"/>
        </w:rPr>
        <w:tab/>
      </w:r>
      <w:r>
        <w:rPr>
          <w:rFonts w:ascii="Arial" w:hAnsi="Arial"/>
          <w:sz w:val="20"/>
        </w:rPr>
        <w:tab/>
      </w:r>
    </w:p>
    <w:p w:rsidR="00D30269" w:rsidRDefault="00D30269">
      <w:pPr>
        <w:pStyle w:val="BlockText"/>
        <w:ind w:right="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BY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D30269" w:rsidRDefault="00D30269">
      <w:pPr>
        <w:pStyle w:val="BlockText"/>
        <w:ind w:right="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sidR="001F3F75">
        <w:rPr>
          <w:rFonts w:ascii="Arial" w:hAnsi="Arial"/>
          <w:sz w:val="20"/>
        </w:rPr>
        <w:t xml:space="preserve">Thomas W. </w:t>
      </w:r>
      <w:proofErr w:type="spellStart"/>
      <w:r w:rsidR="001F3F75">
        <w:rPr>
          <w:rFonts w:ascii="Arial" w:hAnsi="Arial"/>
          <w:sz w:val="20"/>
        </w:rPr>
        <w:t>Hanel</w:t>
      </w:r>
      <w:proofErr w:type="spellEnd"/>
      <w:r w:rsidR="001F3F75">
        <w:rPr>
          <w:rFonts w:ascii="Arial" w:hAnsi="Arial"/>
          <w:sz w:val="20"/>
        </w:rPr>
        <w:t>, MAYOR</w:t>
      </w:r>
    </w:p>
    <w:p w:rsidR="00D30269" w:rsidRDefault="00D30269">
      <w:pPr>
        <w:pStyle w:val="BlockText"/>
        <w:ind w:right="0"/>
        <w:rPr>
          <w:rFonts w:ascii="Arial" w:hAnsi="Arial"/>
          <w:sz w:val="20"/>
        </w:rPr>
      </w:pPr>
    </w:p>
    <w:p w:rsidR="00D30269" w:rsidRDefault="00D30269">
      <w:pPr>
        <w:pStyle w:val="BlockText"/>
        <w:ind w:left="0" w:right="0"/>
        <w:rPr>
          <w:rFonts w:ascii="Arial" w:hAnsi="Arial"/>
          <w:sz w:val="20"/>
        </w:rPr>
      </w:pPr>
      <w:r>
        <w:rPr>
          <w:rFonts w:ascii="Arial" w:hAnsi="Arial"/>
          <w:sz w:val="20"/>
        </w:rPr>
        <w:t>ATTEST:</w:t>
      </w:r>
    </w:p>
    <w:p w:rsidR="00D30269" w:rsidRDefault="00D30269">
      <w:pPr>
        <w:pStyle w:val="BlockText"/>
        <w:ind w:left="0" w:right="0"/>
        <w:rPr>
          <w:rFonts w:ascii="Arial" w:hAnsi="Arial"/>
          <w:sz w:val="20"/>
        </w:rPr>
      </w:pPr>
    </w:p>
    <w:p w:rsidR="00D30269" w:rsidRDefault="00D30269">
      <w:pPr>
        <w:pStyle w:val="BlockText"/>
        <w:ind w:left="0" w:right="0"/>
        <w:rPr>
          <w:rFonts w:ascii="Arial" w:hAnsi="Arial"/>
          <w:sz w:val="20"/>
        </w:rPr>
      </w:pPr>
    </w:p>
    <w:p w:rsidR="00D30269" w:rsidRDefault="00D30269">
      <w:pPr>
        <w:pStyle w:val="BlockText"/>
        <w:ind w:left="0" w:right="0"/>
        <w:rPr>
          <w:rFonts w:ascii="Arial" w:hAnsi="Arial"/>
          <w:sz w:val="20"/>
        </w:rPr>
      </w:pPr>
      <w:r>
        <w:rPr>
          <w:rFonts w:ascii="Arial" w:hAnsi="Arial"/>
          <w:sz w:val="20"/>
        </w:rPr>
        <w:t>BY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D30269" w:rsidRDefault="00D30269">
      <w:pPr>
        <w:pStyle w:val="BlockText"/>
        <w:ind w:left="0" w:right="0"/>
        <w:rPr>
          <w:rFonts w:ascii="Arial" w:hAnsi="Arial"/>
          <w:sz w:val="20"/>
        </w:rPr>
      </w:pPr>
      <w:r>
        <w:rPr>
          <w:rFonts w:ascii="Arial" w:hAnsi="Arial"/>
          <w:sz w:val="20"/>
        </w:rPr>
        <w:t xml:space="preserve">     </w:t>
      </w:r>
      <w:r w:rsidR="00DA09E3">
        <w:rPr>
          <w:rFonts w:ascii="Arial" w:hAnsi="Arial"/>
          <w:sz w:val="20"/>
        </w:rPr>
        <w:tab/>
      </w:r>
      <w:r w:rsidR="001F3F75">
        <w:rPr>
          <w:rFonts w:ascii="Arial" w:hAnsi="Arial"/>
          <w:sz w:val="20"/>
        </w:rPr>
        <w:t xml:space="preserve">Cari Martin, </w:t>
      </w:r>
      <w:r>
        <w:rPr>
          <w:rFonts w:ascii="Arial" w:hAnsi="Arial"/>
          <w:sz w:val="20"/>
        </w:rPr>
        <w:t>CITY CLERK</w:t>
      </w:r>
    </w:p>
    <w:p w:rsidR="00D30269" w:rsidRDefault="00D30269">
      <w:pPr>
        <w:pStyle w:val="BlockText"/>
        <w:ind w:left="0" w:right="0"/>
        <w:rPr>
          <w:rFonts w:ascii="Arial" w:hAnsi="Arial"/>
          <w:sz w:val="20"/>
        </w:rPr>
      </w:pPr>
    </w:p>
    <w:p w:rsidR="00D30269" w:rsidRDefault="00D30269">
      <w:pPr>
        <w:pStyle w:val="BlockText"/>
        <w:ind w:left="0" w:right="0"/>
        <w:rPr>
          <w:rFonts w:ascii="Arial" w:hAnsi="Arial"/>
          <w:sz w:val="20"/>
        </w:rPr>
      </w:pPr>
    </w:p>
    <w:p w:rsidR="00D30269" w:rsidRDefault="00D30269">
      <w:pPr>
        <w:ind w:firstLine="720"/>
        <w:jc w:val="both"/>
        <w:rPr>
          <w:rFonts w:ascii="Arial" w:hAnsi="Arial"/>
          <w:sz w:val="20"/>
        </w:rPr>
      </w:pPr>
      <w:r>
        <w:rPr>
          <w:rFonts w:ascii="Arial" w:hAnsi="Arial"/>
          <w:sz w:val="20"/>
        </w:rPr>
        <w:tab/>
      </w:r>
    </w:p>
    <w:sectPr w:rsidR="00D30269" w:rsidSect="00900AEE">
      <w:headerReference w:type="default" r:id="rId10"/>
      <w:type w:val="continuous"/>
      <w:pgSz w:w="12240" w:h="15840" w:code="1"/>
      <w:pgMar w:top="1440" w:right="1440" w:bottom="1440" w:left="1440" w:header="144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EDA" w:rsidRDefault="00E01EDA" w:rsidP="00D30269">
      <w:r>
        <w:separator/>
      </w:r>
    </w:p>
  </w:endnote>
  <w:endnote w:type="continuationSeparator" w:id="0">
    <w:p w:rsidR="00E01EDA" w:rsidRDefault="00E01EDA" w:rsidP="00D30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9" w:rsidRDefault="0053567C">
    <w:pPr>
      <w:pStyle w:val="Footer"/>
      <w:framePr w:wrap="around" w:vAnchor="text" w:hAnchor="margin" w:xAlign="center" w:y="1"/>
      <w:rPr>
        <w:rStyle w:val="PageNumber"/>
      </w:rPr>
    </w:pPr>
    <w:r>
      <w:rPr>
        <w:rStyle w:val="PageNumber"/>
      </w:rPr>
      <w:fldChar w:fldCharType="begin"/>
    </w:r>
    <w:r w:rsidR="00483509">
      <w:rPr>
        <w:rStyle w:val="PageNumber"/>
      </w:rPr>
      <w:instrText xml:space="preserve">PAGE  </w:instrText>
    </w:r>
    <w:r>
      <w:rPr>
        <w:rStyle w:val="PageNumber"/>
      </w:rPr>
      <w:fldChar w:fldCharType="end"/>
    </w:r>
  </w:p>
  <w:p w:rsidR="00483509" w:rsidRDefault="004835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9" w:rsidRDefault="0053567C">
    <w:pPr>
      <w:pStyle w:val="Footer"/>
      <w:framePr w:wrap="around" w:vAnchor="text" w:hAnchor="margin" w:xAlign="center" w:y="1"/>
      <w:rPr>
        <w:rStyle w:val="PageNumber"/>
      </w:rPr>
    </w:pPr>
    <w:r>
      <w:rPr>
        <w:rStyle w:val="PageNumber"/>
      </w:rPr>
      <w:fldChar w:fldCharType="begin"/>
    </w:r>
    <w:r w:rsidR="00483509">
      <w:rPr>
        <w:rStyle w:val="PageNumber"/>
      </w:rPr>
      <w:instrText xml:space="preserve">PAGE  </w:instrText>
    </w:r>
    <w:r>
      <w:rPr>
        <w:rStyle w:val="PageNumber"/>
      </w:rPr>
      <w:fldChar w:fldCharType="separate"/>
    </w:r>
    <w:r w:rsidR="00AA1EF5">
      <w:rPr>
        <w:rStyle w:val="PageNumber"/>
        <w:noProof/>
      </w:rPr>
      <w:t>2</w:t>
    </w:r>
    <w:r>
      <w:rPr>
        <w:rStyle w:val="PageNumber"/>
      </w:rPr>
      <w:fldChar w:fldCharType="end"/>
    </w:r>
  </w:p>
  <w:p w:rsidR="00483509" w:rsidRDefault="00483509">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EDA" w:rsidRDefault="00E01EDA" w:rsidP="00D30269">
      <w:r>
        <w:separator/>
      </w:r>
    </w:p>
  </w:footnote>
  <w:footnote w:type="continuationSeparator" w:id="0">
    <w:p w:rsidR="00E01EDA" w:rsidRDefault="00E01EDA" w:rsidP="00D30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9" w:rsidRDefault="00483509">
    <w:pPr>
      <w:pStyle w:val="Header"/>
      <w:jc w:val="center"/>
      <w:rPr>
        <w:rFonts w:ascii="Arial" w:hAnsi="Arial" w:cs="Arial"/>
        <w:sz w:val="32"/>
      </w:rPr>
    </w:pPr>
    <w:r>
      <w:rPr>
        <w:rFonts w:ascii="Arial" w:hAnsi="Arial" w:cs="Arial"/>
        <w:sz w:val="32"/>
      </w:rPr>
      <w:t>Attachment “A”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9" w:rsidRDefault="00483509">
    <w:pPr>
      <w:pStyle w:val="Header"/>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A3B21"/>
    <w:multiLevelType w:val="multilevel"/>
    <w:tmpl w:val="366051DC"/>
    <w:lvl w:ilvl="0">
      <w:start w:val="5"/>
      <w:numFmt w:val="decimal"/>
      <w:lvlText w:val="%1."/>
      <w:lvlJc w:val="left"/>
      <w:pPr>
        <w:tabs>
          <w:tab w:val="num" w:pos="705"/>
        </w:tabs>
        <w:ind w:left="705" w:hanging="705"/>
      </w:pPr>
      <w:rPr>
        <w:rFonts w:hint="default"/>
      </w:rPr>
    </w:lvl>
    <w:lvl w:ilvl="1">
      <w:start w:val="1"/>
      <w:numFmt w:val="decimalZero"/>
      <w:lvlText w:val="%1.%2."/>
      <w:lvlJc w:val="left"/>
      <w:pPr>
        <w:tabs>
          <w:tab w:val="num" w:pos="2145"/>
        </w:tabs>
        <w:ind w:left="2145" w:hanging="70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4B8"/>
    <w:rsid w:val="000B16FF"/>
    <w:rsid w:val="001524B8"/>
    <w:rsid w:val="001F3F75"/>
    <w:rsid w:val="002C155B"/>
    <w:rsid w:val="00483509"/>
    <w:rsid w:val="0053567C"/>
    <w:rsid w:val="00900AEE"/>
    <w:rsid w:val="00922E59"/>
    <w:rsid w:val="00AA1EF5"/>
    <w:rsid w:val="00B60136"/>
    <w:rsid w:val="00BE01D8"/>
    <w:rsid w:val="00D30269"/>
    <w:rsid w:val="00DA09E3"/>
    <w:rsid w:val="00E01EDA"/>
    <w:rsid w:val="00FE5D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AE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00AEE"/>
    <w:pPr>
      <w:ind w:left="720" w:right="720"/>
      <w:jc w:val="both"/>
    </w:pPr>
  </w:style>
  <w:style w:type="paragraph" w:styleId="Header">
    <w:name w:val="header"/>
    <w:basedOn w:val="Normal"/>
    <w:rsid w:val="00900AEE"/>
    <w:pPr>
      <w:tabs>
        <w:tab w:val="center" w:pos="4320"/>
        <w:tab w:val="right" w:pos="8640"/>
      </w:tabs>
    </w:pPr>
  </w:style>
  <w:style w:type="paragraph" w:styleId="Footer">
    <w:name w:val="footer"/>
    <w:basedOn w:val="Normal"/>
    <w:rsid w:val="00900AEE"/>
    <w:pPr>
      <w:tabs>
        <w:tab w:val="center" w:pos="4320"/>
        <w:tab w:val="right" w:pos="8640"/>
      </w:tabs>
    </w:pPr>
  </w:style>
  <w:style w:type="character" w:styleId="PageNumber">
    <w:name w:val="page number"/>
    <w:basedOn w:val="DefaultParagraphFont"/>
    <w:rsid w:val="00900A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986</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CERTIFICATE AS TO RESOLUTION AND ADOPTING VOTE</vt:lpstr>
    </vt:vector>
  </TitlesOfParts>
  <Company>City of Billings</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AS TO RESOLUTION AND ADOPTING VOTE</dc:title>
  <dc:creator>MartinC</dc:creator>
  <cp:lastModifiedBy>RobbinsW</cp:lastModifiedBy>
  <cp:revision>5</cp:revision>
  <cp:lastPrinted>2010-03-23T21:57:00Z</cp:lastPrinted>
  <dcterms:created xsi:type="dcterms:W3CDTF">2010-03-19T22:22:00Z</dcterms:created>
  <dcterms:modified xsi:type="dcterms:W3CDTF">2010-03-23T22:09:00Z</dcterms:modified>
</cp:coreProperties>
</file>