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DF" w:rsidRPr="004F3982" w:rsidRDefault="00091AAC">
      <w:pPr>
        <w:rPr>
          <w:sz w:val="32"/>
          <w:szCs w:val="32"/>
        </w:rPr>
      </w:pPr>
      <w:bookmarkStart w:id="0" w:name="_GoBack"/>
      <w:bookmarkEnd w:id="0"/>
      <w:r w:rsidRPr="004F3982">
        <w:rPr>
          <w:sz w:val="32"/>
          <w:szCs w:val="32"/>
        </w:rPr>
        <w:t>Texas Occupations Code</w:t>
      </w:r>
    </w:p>
    <w:p w:rsidR="00091AAC" w:rsidRDefault="00091AAC"/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§ 1001.053. PUBLIC WORKS.  The following work is exempt 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from this chapter: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(1)  a public work that involves electrical or 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mechanical engineering, if the contemplated expense for the 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completed project is $8,000 or less;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(2)  a public work that does not involve electrical or 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mechanical engineering, if the contemplated expense for the 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completed project is $20,000 or less;  or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(3)  road maintenance or improvement undertaken by the 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commissioners court of a county.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Added by Acts 2001, 77th Leg., ch. 1421, § 1, eff. June 1, 2003.  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Amended by Acts 2003, 78th Leg., ch. 273, § 1, eff. June 18, </w:t>
      </w:r>
    </w:p>
    <w:p w:rsidR="00091AAC" w:rsidRDefault="00091AAC" w:rsidP="00091AA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2003.</w:t>
      </w:r>
    </w:p>
    <w:p w:rsidR="00091AAC" w:rsidRDefault="00091AAC"/>
    <w:sectPr w:rsidR="00091A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AC"/>
    <w:rsid w:val="00091AAC"/>
    <w:rsid w:val="004F3982"/>
    <w:rsid w:val="0052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A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A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Garcia Jr.</dc:creator>
  <cp:keywords/>
  <dc:description/>
  <cp:lastModifiedBy>Rolando Garcia Jr.</cp:lastModifiedBy>
  <cp:revision>3</cp:revision>
  <dcterms:created xsi:type="dcterms:W3CDTF">2011-05-27T13:42:00Z</dcterms:created>
  <dcterms:modified xsi:type="dcterms:W3CDTF">2011-05-27T13:44:00Z</dcterms:modified>
</cp:coreProperties>
</file>