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CB" w:rsidRPr="00EB2007" w:rsidRDefault="00EA39CB" w:rsidP="00BF13BE">
      <w:pPr>
        <w:jc w:val="center"/>
        <w:rPr>
          <w:rFonts w:ascii="Verdana" w:hAnsi="Verdana"/>
          <w:b/>
          <w:bCs/>
          <w:sz w:val="22"/>
          <w:szCs w:val="22"/>
        </w:rPr>
      </w:pPr>
      <w:bookmarkStart w:id="0" w:name="_GoBack"/>
      <w:bookmarkEnd w:id="0"/>
    </w:p>
    <w:p w:rsidR="002E24C9" w:rsidRPr="002E24C9" w:rsidRDefault="0070254D" w:rsidP="002E24C9">
      <w:pPr>
        <w:jc w:val="center"/>
        <w:rPr>
          <w:rFonts w:ascii="Verdana" w:hAnsi="Verdana"/>
          <w:b/>
          <w:bCs/>
        </w:rPr>
      </w:pPr>
      <w:r w:rsidRPr="002E24C9">
        <w:rPr>
          <w:rFonts w:ascii="Verdana" w:hAnsi="Verdana"/>
          <w:b/>
          <w:bCs/>
        </w:rPr>
        <w:t>Supplemental Application for Expansion Funds</w:t>
      </w:r>
      <w:r w:rsidR="002E24C9" w:rsidRPr="002E24C9">
        <w:rPr>
          <w:rFonts w:ascii="Verdana" w:hAnsi="Verdana"/>
          <w:bCs/>
        </w:rPr>
        <w:t>-</w:t>
      </w:r>
      <w:r w:rsidR="002E24C9" w:rsidRPr="002E24C9">
        <w:rPr>
          <w:rFonts w:ascii="Verdana" w:hAnsi="Verdana"/>
          <w:b/>
          <w:bCs/>
        </w:rPr>
        <w:t xml:space="preserve">American Recovery </w:t>
      </w:r>
    </w:p>
    <w:p w:rsidR="00014FFB" w:rsidRPr="002E24C9" w:rsidRDefault="002E24C9" w:rsidP="002E24C9">
      <w:pPr>
        <w:jc w:val="center"/>
        <w:rPr>
          <w:rFonts w:ascii="Verdana" w:hAnsi="Verdana"/>
          <w:b/>
          <w:bCs/>
        </w:rPr>
      </w:pPr>
      <w:r w:rsidRPr="002E24C9">
        <w:rPr>
          <w:rFonts w:ascii="Verdana" w:hAnsi="Verdana"/>
          <w:b/>
          <w:bCs/>
        </w:rPr>
        <w:t>and Reinvestment Act (ARRA),</w:t>
      </w:r>
      <w:r w:rsidR="0070254D" w:rsidRPr="002E24C9">
        <w:rPr>
          <w:rFonts w:ascii="Verdana" w:hAnsi="Verdana"/>
          <w:b/>
          <w:bCs/>
        </w:rPr>
        <w:t>Cost-of-Living</w:t>
      </w:r>
      <w:r w:rsidR="009E6AF9">
        <w:rPr>
          <w:rFonts w:ascii="Verdana" w:hAnsi="Verdana"/>
          <w:b/>
          <w:bCs/>
        </w:rPr>
        <w:t xml:space="preserve"> Adjustment </w:t>
      </w:r>
      <w:r w:rsidR="0070254D" w:rsidRPr="002E24C9">
        <w:rPr>
          <w:rFonts w:ascii="Verdana" w:hAnsi="Verdana"/>
          <w:b/>
          <w:bCs/>
        </w:rPr>
        <w:t xml:space="preserve">(COLA) and Training and Technical Assistance (T/TA) </w:t>
      </w:r>
    </w:p>
    <w:p w:rsidR="00EB2007" w:rsidRPr="002E24C9" w:rsidRDefault="00014FFB" w:rsidP="00BF13BE">
      <w:pPr>
        <w:jc w:val="center"/>
        <w:rPr>
          <w:rFonts w:ascii="Verdana" w:hAnsi="Verdana"/>
          <w:b/>
          <w:bCs/>
          <w:u w:val="single"/>
        </w:rPr>
      </w:pPr>
      <w:r w:rsidRPr="00CC0953">
        <w:rPr>
          <w:rFonts w:ascii="Verdana" w:hAnsi="Verdana"/>
          <w:b/>
          <w:bCs/>
          <w:u w:val="single"/>
        </w:rPr>
        <w:t xml:space="preserve">Grant Number </w:t>
      </w:r>
      <w:r w:rsidR="00F17243" w:rsidRPr="00CC0953">
        <w:rPr>
          <w:rFonts w:ascii="Verdana" w:hAnsi="Verdana"/>
          <w:b/>
          <w:bCs/>
          <w:u w:val="single"/>
        </w:rPr>
        <w:t>06C</w:t>
      </w:r>
      <w:r w:rsidRPr="00CC0953">
        <w:rPr>
          <w:rFonts w:ascii="Verdana" w:hAnsi="Verdana"/>
          <w:b/>
          <w:bCs/>
          <w:u w:val="single"/>
        </w:rPr>
        <w:t>H0183</w:t>
      </w:r>
    </w:p>
    <w:p w:rsidR="00961EB9" w:rsidRDefault="00961EB9" w:rsidP="00961EB9">
      <w:pPr>
        <w:jc w:val="center"/>
        <w:rPr>
          <w:rFonts w:ascii="Verdana" w:hAnsi="Verdana"/>
          <w:b/>
          <w:sz w:val="22"/>
          <w:szCs w:val="22"/>
        </w:rPr>
      </w:pPr>
    </w:p>
    <w:p w:rsidR="00366C77" w:rsidRDefault="00881549" w:rsidP="001D1814">
      <w:pPr>
        <w:jc w:val="center"/>
        <w:rPr>
          <w:rFonts w:ascii="Verdana" w:hAnsi="Verdana"/>
          <w:b/>
        </w:rPr>
      </w:pPr>
      <w:r>
        <w:rPr>
          <w:rFonts w:ascii="Verdana" w:hAnsi="Verdana"/>
          <w:b/>
        </w:rPr>
        <w:t>NARRATIVE</w:t>
      </w:r>
    </w:p>
    <w:p w:rsidR="00366C77" w:rsidRDefault="00366C77" w:rsidP="00366C77">
      <w:pPr>
        <w:jc w:val="center"/>
        <w:rPr>
          <w:rFonts w:ascii="Verdana" w:hAnsi="Verdana"/>
          <w:b/>
        </w:rPr>
      </w:pPr>
    </w:p>
    <w:p w:rsidR="00592F47" w:rsidRPr="00AE5C9C" w:rsidRDefault="00592F47" w:rsidP="00592F47">
      <w:pPr>
        <w:jc w:val="both"/>
        <w:rPr>
          <w:rFonts w:ascii="Verdana" w:hAnsi="Verdana"/>
          <w:sz w:val="22"/>
          <w:szCs w:val="22"/>
        </w:rPr>
      </w:pPr>
      <w:r w:rsidRPr="00AE5C9C">
        <w:rPr>
          <w:rFonts w:ascii="Verdana" w:hAnsi="Verdana"/>
          <w:sz w:val="22"/>
          <w:szCs w:val="22"/>
        </w:rPr>
        <w:t>The Hidalgo County Head Start</w:t>
      </w:r>
      <w:r w:rsidR="00366C77" w:rsidRPr="00AE5C9C">
        <w:rPr>
          <w:rFonts w:ascii="Verdana" w:hAnsi="Verdana"/>
          <w:sz w:val="22"/>
          <w:szCs w:val="22"/>
        </w:rPr>
        <w:t xml:space="preserve"> (HCHSP)</w:t>
      </w:r>
      <w:r w:rsidRPr="00AE5C9C">
        <w:rPr>
          <w:rFonts w:ascii="Verdana" w:hAnsi="Verdana"/>
          <w:sz w:val="22"/>
          <w:szCs w:val="22"/>
        </w:rPr>
        <w:t xml:space="preserve"> </w:t>
      </w:r>
      <w:r w:rsidR="00B64448" w:rsidRPr="00AE5C9C">
        <w:rPr>
          <w:rFonts w:ascii="Verdana" w:hAnsi="Verdana"/>
          <w:sz w:val="22"/>
          <w:szCs w:val="22"/>
        </w:rPr>
        <w:t>is submitting a supplemental application to continue operations for the expansion services funded under the American Recovery and Reinvestment Act, provide a minimum of .72 percent cost-of-living adjustment (COLA) increase to assist in maintaining the quality of Head Start services, retaining qualified staff and offsetting higher operating costs and increase training and technical assistance (T/TA) funds.</w:t>
      </w:r>
      <w:r w:rsidR="00366C77" w:rsidRPr="00AE5C9C">
        <w:rPr>
          <w:rFonts w:ascii="Verdana" w:hAnsi="Verdana"/>
          <w:sz w:val="22"/>
          <w:szCs w:val="22"/>
        </w:rPr>
        <w:t xml:space="preserve">  HCHSP continuously focuses on maximizing resources, financial and otherwise, to provide an individualized program of services for every child and family enrolled.  A comprehensive systematic process to determine the beginning point of impact to meet each child’s social, emotional, cognitive and physical needs on a daily basis is activated beginning with the first day of services.</w:t>
      </w:r>
      <w:r w:rsidR="0019774B" w:rsidRPr="00AE5C9C">
        <w:rPr>
          <w:rFonts w:ascii="Verdana" w:hAnsi="Verdana"/>
          <w:sz w:val="22"/>
          <w:szCs w:val="22"/>
        </w:rPr>
        <w:t xml:space="preserve">  Furthermore, all systems and functions carry established procedures with checks and balances to insure that all activities meet the Head Start Standards and are geared toward meeting the requirements of school readiness.</w:t>
      </w:r>
      <w:r w:rsidR="00366C77" w:rsidRPr="00AE5C9C">
        <w:rPr>
          <w:rFonts w:ascii="Verdana" w:hAnsi="Verdana"/>
          <w:sz w:val="22"/>
          <w:szCs w:val="22"/>
        </w:rPr>
        <w:t xml:space="preserve">  The supplemental funds requested through this application will ensure that</w:t>
      </w:r>
      <w:r w:rsidR="0019774B" w:rsidRPr="00AE5C9C">
        <w:rPr>
          <w:rFonts w:ascii="Verdana" w:hAnsi="Verdana"/>
          <w:sz w:val="22"/>
          <w:szCs w:val="22"/>
        </w:rPr>
        <w:t xml:space="preserve"> the Program staff continues in their quest to a holistic approach to teaching and learning.</w:t>
      </w:r>
    </w:p>
    <w:p w:rsidR="0070254D" w:rsidRDefault="0070254D" w:rsidP="00BF13BE">
      <w:pPr>
        <w:jc w:val="both"/>
        <w:rPr>
          <w:rFonts w:ascii="Verdana" w:hAnsi="Verdana"/>
          <w:b/>
          <w:sz w:val="22"/>
          <w:szCs w:val="22"/>
          <w:u w:val="single"/>
        </w:rPr>
      </w:pPr>
    </w:p>
    <w:p w:rsidR="000D786C" w:rsidRPr="00AE5C9C" w:rsidRDefault="000D786C" w:rsidP="00BF13BE">
      <w:pPr>
        <w:jc w:val="both"/>
        <w:rPr>
          <w:rFonts w:ascii="Verdana" w:hAnsi="Verdana"/>
          <w:b/>
          <w:sz w:val="22"/>
          <w:szCs w:val="22"/>
          <w:u w:val="single"/>
        </w:rPr>
      </w:pPr>
    </w:p>
    <w:p w:rsidR="00191D18" w:rsidRPr="0070254D" w:rsidRDefault="0070254D" w:rsidP="00BF13BE">
      <w:pPr>
        <w:jc w:val="both"/>
        <w:rPr>
          <w:rFonts w:ascii="Verdana" w:hAnsi="Verdana"/>
          <w:b/>
          <w:u w:val="single"/>
        </w:rPr>
      </w:pPr>
      <w:r>
        <w:rPr>
          <w:rFonts w:ascii="Verdana" w:hAnsi="Verdana"/>
          <w:b/>
          <w:u w:val="single"/>
        </w:rPr>
        <w:t>Expansion Funds</w:t>
      </w:r>
    </w:p>
    <w:p w:rsidR="0070254D" w:rsidRPr="0070254D" w:rsidRDefault="0070254D" w:rsidP="00BF13BE">
      <w:pPr>
        <w:jc w:val="both"/>
        <w:rPr>
          <w:rFonts w:ascii="Verdana" w:hAnsi="Verdana"/>
          <w:b/>
        </w:rPr>
      </w:pPr>
    </w:p>
    <w:p w:rsidR="00014FFB" w:rsidRDefault="00044831" w:rsidP="0070254D">
      <w:pPr>
        <w:jc w:val="both"/>
        <w:rPr>
          <w:rFonts w:ascii="Verdana" w:hAnsi="Verdana"/>
          <w:sz w:val="22"/>
          <w:szCs w:val="22"/>
        </w:rPr>
      </w:pPr>
      <w:r>
        <w:rPr>
          <w:rFonts w:ascii="Verdana" w:hAnsi="Verdana"/>
          <w:sz w:val="22"/>
          <w:szCs w:val="22"/>
        </w:rPr>
        <w:t>Th</w:t>
      </w:r>
      <w:r w:rsidR="00C55CF8">
        <w:rPr>
          <w:rFonts w:ascii="Verdana" w:hAnsi="Verdana"/>
          <w:sz w:val="22"/>
          <w:szCs w:val="22"/>
        </w:rPr>
        <w:t>ese</w:t>
      </w:r>
      <w:r>
        <w:rPr>
          <w:rFonts w:ascii="Verdana" w:hAnsi="Verdana"/>
          <w:sz w:val="22"/>
          <w:szCs w:val="22"/>
        </w:rPr>
        <w:t xml:space="preserve"> </w:t>
      </w:r>
      <w:r w:rsidR="00032AE3">
        <w:rPr>
          <w:rFonts w:ascii="Verdana" w:hAnsi="Verdana"/>
          <w:b/>
          <w:sz w:val="22"/>
          <w:szCs w:val="22"/>
        </w:rPr>
        <w:t xml:space="preserve">Expansion Funds </w:t>
      </w:r>
      <w:r w:rsidR="00191D18" w:rsidRPr="00FC0B76">
        <w:rPr>
          <w:rFonts w:ascii="Verdana" w:hAnsi="Verdana"/>
          <w:b/>
          <w:sz w:val="22"/>
          <w:szCs w:val="22"/>
        </w:rPr>
        <w:t xml:space="preserve">totaling </w:t>
      </w:r>
      <w:r w:rsidR="00032AE3">
        <w:rPr>
          <w:rFonts w:ascii="Verdana" w:hAnsi="Verdana"/>
          <w:b/>
          <w:sz w:val="22"/>
          <w:szCs w:val="22"/>
        </w:rPr>
        <w:t>$225,000</w:t>
      </w:r>
      <w:r w:rsidRPr="00EB2007">
        <w:rPr>
          <w:rFonts w:ascii="Verdana" w:hAnsi="Verdana"/>
          <w:sz w:val="22"/>
          <w:szCs w:val="22"/>
        </w:rPr>
        <w:t xml:space="preserve"> </w:t>
      </w:r>
      <w:r w:rsidR="002A18D2">
        <w:rPr>
          <w:rFonts w:ascii="Verdana" w:hAnsi="Verdana"/>
          <w:sz w:val="22"/>
          <w:szCs w:val="22"/>
        </w:rPr>
        <w:t>will provide nee</w:t>
      </w:r>
      <w:r w:rsidR="00840798">
        <w:rPr>
          <w:rFonts w:ascii="Verdana" w:hAnsi="Verdana"/>
          <w:sz w:val="22"/>
          <w:szCs w:val="22"/>
        </w:rPr>
        <w:t xml:space="preserve">ded funds to sustain our </w:t>
      </w:r>
      <w:r w:rsidR="002A18D2">
        <w:rPr>
          <w:rFonts w:ascii="Verdana" w:hAnsi="Verdana"/>
          <w:sz w:val="22"/>
          <w:szCs w:val="22"/>
        </w:rPr>
        <w:t xml:space="preserve">expansion enrollment for the additional 120 three year old children from September 30, 2012 until the next budget period in FY2013.  </w:t>
      </w:r>
      <w:r w:rsidR="002A18D2" w:rsidRPr="00014FFB">
        <w:rPr>
          <w:rFonts w:ascii="Verdana" w:hAnsi="Verdana"/>
          <w:sz w:val="22"/>
          <w:szCs w:val="22"/>
        </w:rPr>
        <w:t xml:space="preserve">This expansion funding will allow the </w:t>
      </w:r>
      <w:r w:rsidR="002A18D2">
        <w:rPr>
          <w:rFonts w:ascii="Verdana" w:hAnsi="Verdana"/>
          <w:sz w:val="22"/>
          <w:szCs w:val="22"/>
        </w:rPr>
        <w:t>Hidalgo County Head Start P</w:t>
      </w:r>
      <w:r w:rsidR="002A18D2" w:rsidRPr="00014FFB">
        <w:rPr>
          <w:rFonts w:ascii="Verdana" w:hAnsi="Verdana"/>
          <w:sz w:val="22"/>
          <w:szCs w:val="22"/>
        </w:rPr>
        <w:t xml:space="preserve">rogram to </w:t>
      </w:r>
      <w:r w:rsidR="002A18D2">
        <w:rPr>
          <w:rFonts w:ascii="Verdana" w:hAnsi="Verdana"/>
          <w:sz w:val="22"/>
          <w:szCs w:val="22"/>
        </w:rPr>
        <w:t>continue</w:t>
      </w:r>
      <w:r w:rsidR="002A18D2" w:rsidRPr="00014FFB">
        <w:rPr>
          <w:rFonts w:ascii="Verdana" w:hAnsi="Verdana"/>
          <w:sz w:val="22"/>
          <w:szCs w:val="22"/>
        </w:rPr>
        <w:t xml:space="preserve"> </w:t>
      </w:r>
      <w:r w:rsidR="002A18D2">
        <w:rPr>
          <w:rFonts w:ascii="Verdana" w:hAnsi="Verdana"/>
          <w:sz w:val="22"/>
          <w:szCs w:val="22"/>
        </w:rPr>
        <w:t>paying the salaries of seven (7) teachers, seven (7) assistant teachers, two (2) support service assistants, four (4) bus drivers, four (4) bus aides</w:t>
      </w:r>
      <w:r w:rsidR="00840798">
        <w:rPr>
          <w:rFonts w:ascii="Verdana" w:hAnsi="Verdana"/>
          <w:sz w:val="22"/>
          <w:szCs w:val="22"/>
        </w:rPr>
        <w:t xml:space="preserve"> and two(2) clerks</w:t>
      </w:r>
      <w:r w:rsidR="002A18D2">
        <w:rPr>
          <w:rFonts w:ascii="Verdana" w:hAnsi="Verdana"/>
          <w:sz w:val="22"/>
          <w:szCs w:val="22"/>
        </w:rPr>
        <w:t>. The seven additional classrooms have been</w:t>
      </w:r>
      <w:r w:rsidR="002A18D2" w:rsidRPr="00191D18">
        <w:rPr>
          <w:rFonts w:ascii="Verdana" w:hAnsi="Verdana"/>
          <w:sz w:val="22"/>
          <w:szCs w:val="22"/>
        </w:rPr>
        <w:t xml:space="preserve"> placed in locat</w:t>
      </w:r>
      <w:r w:rsidR="002A18D2">
        <w:rPr>
          <w:rFonts w:ascii="Verdana" w:hAnsi="Verdana"/>
          <w:sz w:val="22"/>
          <w:szCs w:val="22"/>
        </w:rPr>
        <w:t xml:space="preserve">ions </w:t>
      </w:r>
      <w:r w:rsidR="002A18D2" w:rsidRPr="00191D18">
        <w:rPr>
          <w:rFonts w:ascii="Verdana" w:hAnsi="Verdana"/>
          <w:sz w:val="22"/>
          <w:szCs w:val="22"/>
        </w:rPr>
        <w:t>where the waiting lists have exceeded 50% of the three year old children enrolled</w:t>
      </w:r>
      <w:r w:rsidR="00C55CF8">
        <w:rPr>
          <w:rFonts w:ascii="Verdana" w:hAnsi="Verdana"/>
          <w:sz w:val="22"/>
          <w:szCs w:val="22"/>
        </w:rPr>
        <w:t xml:space="preserve"> in the Program</w:t>
      </w:r>
      <w:r w:rsidR="002A18D2">
        <w:rPr>
          <w:rFonts w:ascii="Verdana" w:hAnsi="Verdana"/>
          <w:sz w:val="22"/>
          <w:szCs w:val="22"/>
        </w:rPr>
        <w:t xml:space="preserve">.  </w:t>
      </w:r>
      <w:r w:rsidR="0070254D">
        <w:rPr>
          <w:rFonts w:ascii="Verdana" w:hAnsi="Verdana"/>
          <w:sz w:val="22"/>
          <w:szCs w:val="22"/>
        </w:rPr>
        <w:t>All Program operations related to serving these children will be able to continue</w:t>
      </w:r>
      <w:r w:rsidR="00C55CF8">
        <w:rPr>
          <w:rFonts w:ascii="Verdana" w:hAnsi="Verdana"/>
          <w:sz w:val="22"/>
          <w:szCs w:val="22"/>
        </w:rPr>
        <w:t xml:space="preserve"> uninterrupted.  The </w:t>
      </w:r>
      <w:r w:rsidR="0070254D">
        <w:rPr>
          <w:rFonts w:ascii="Verdana" w:hAnsi="Verdana"/>
          <w:sz w:val="22"/>
          <w:szCs w:val="22"/>
        </w:rPr>
        <w:t xml:space="preserve">children and </w:t>
      </w:r>
      <w:r w:rsidR="00C55CF8">
        <w:rPr>
          <w:rFonts w:ascii="Verdana" w:hAnsi="Verdana"/>
          <w:sz w:val="22"/>
          <w:szCs w:val="22"/>
        </w:rPr>
        <w:t xml:space="preserve">their </w:t>
      </w:r>
      <w:r w:rsidR="0070254D">
        <w:rPr>
          <w:rFonts w:ascii="Verdana" w:hAnsi="Verdana"/>
          <w:sz w:val="22"/>
          <w:szCs w:val="22"/>
        </w:rPr>
        <w:t>families will continue to receive comprehensive Program services including</w:t>
      </w:r>
      <w:r w:rsidR="00C55CF8">
        <w:rPr>
          <w:rFonts w:ascii="Verdana" w:hAnsi="Verdana"/>
          <w:sz w:val="22"/>
          <w:szCs w:val="22"/>
        </w:rPr>
        <w:t xml:space="preserve"> teaching in</w:t>
      </w:r>
      <w:r w:rsidR="00840798">
        <w:rPr>
          <w:rFonts w:ascii="Verdana" w:hAnsi="Verdana"/>
          <w:sz w:val="22"/>
          <w:szCs w:val="22"/>
        </w:rPr>
        <w:t xml:space="preserve"> </w:t>
      </w:r>
      <w:r w:rsidR="0070254D">
        <w:rPr>
          <w:rFonts w:ascii="Verdana" w:hAnsi="Verdana"/>
          <w:sz w:val="22"/>
          <w:szCs w:val="22"/>
        </w:rPr>
        <w:t>the eight domains:  Language Development; Literacy; Mathematics; Science; Creative Arts; Social and Emotional Development; Approaches to Learning; and Physical Health and Development.</w:t>
      </w:r>
    </w:p>
    <w:p w:rsidR="00840798" w:rsidRDefault="00840798" w:rsidP="0070254D">
      <w:pPr>
        <w:jc w:val="both"/>
        <w:rPr>
          <w:rFonts w:ascii="Verdana" w:hAnsi="Verdana"/>
          <w:sz w:val="22"/>
          <w:szCs w:val="22"/>
        </w:rPr>
      </w:pPr>
    </w:p>
    <w:p w:rsidR="00E51467" w:rsidRPr="00F72E44" w:rsidRDefault="00840798" w:rsidP="007B3102">
      <w:pPr>
        <w:pStyle w:val="PlainText"/>
        <w:spacing w:after="240"/>
        <w:jc w:val="both"/>
        <w:rPr>
          <w:rFonts w:ascii="Times New Roman" w:hAnsi="Times New Roman"/>
          <w:sz w:val="24"/>
        </w:rPr>
      </w:pPr>
      <w:r>
        <w:rPr>
          <w:rFonts w:ascii="Verdana" w:hAnsi="Verdana"/>
          <w:sz w:val="22"/>
          <w:szCs w:val="22"/>
        </w:rPr>
        <w:t>The 2010 Hidalgo County Head Start Community Assessment identified a significant number of 0-5 year old children eligible for Head Star</w:t>
      </w:r>
      <w:r w:rsidR="00F72E44">
        <w:rPr>
          <w:rFonts w:ascii="Verdana" w:hAnsi="Verdana"/>
          <w:sz w:val="22"/>
          <w:szCs w:val="22"/>
        </w:rPr>
        <w:t xml:space="preserve">t services. </w:t>
      </w:r>
      <w:r w:rsidR="0093657E" w:rsidRPr="00F72E44">
        <w:rPr>
          <w:rFonts w:ascii="Verdana" w:hAnsi="Verdana"/>
          <w:sz w:val="22"/>
          <w:szCs w:val="22"/>
        </w:rPr>
        <w:t xml:space="preserve"> Data released from Census 2000 showed that the total number of children under the age of 5 in Hidalgo County </w:t>
      </w:r>
      <w:r w:rsidR="00F72E44">
        <w:rPr>
          <w:rFonts w:ascii="Verdana" w:hAnsi="Verdana"/>
          <w:sz w:val="22"/>
          <w:szCs w:val="22"/>
        </w:rPr>
        <w:t xml:space="preserve">was 58,138 </w:t>
      </w:r>
      <w:r w:rsidR="0093657E" w:rsidRPr="00F72E44">
        <w:rPr>
          <w:rFonts w:ascii="Verdana" w:hAnsi="Verdana"/>
          <w:sz w:val="22"/>
          <w:szCs w:val="22"/>
        </w:rPr>
        <w:t>or about 10% of the total population. In 2009, children under 5 numbered 87,589. These figures correspond to a 64% and 147% increase, respectively, from the 1990 Census, when the number of chi</w:t>
      </w:r>
      <w:r w:rsidR="00C55CF8">
        <w:rPr>
          <w:rFonts w:ascii="Verdana" w:hAnsi="Verdana"/>
          <w:sz w:val="22"/>
          <w:szCs w:val="22"/>
        </w:rPr>
        <w:t xml:space="preserve">ldren </w:t>
      </w:r>
      <w:r w:rsidR="00C55CF8">
        <w:rPr>
          <w:rFonts w:ascii="Verdana" w:hAnsi="Verdana"/>
          <w:sz w:val="22"/>
          <w:szCs w:val="22"/>
        </w:rPr>
        <w:lastRenderedPageBreak/>
        <w:t>under 5 was 35,438</w:t>
      </w:r>
      <w:r w:rsidR="0093657E" w:rsidRPr="00F72E44">
        <w:rPr>
          <w:rFonts w:ascii="Verdana" w:hAnsi="Verdana"/>
          <w:sz w:val="22"/>
          <w:szCs w:val="22"/>
        </w:rPr>
        <w:t xml:space="preserve"> and represented about 9 percent of all county residents.  In 2009, children under 5 comprised 12 percent of the population.</w:t>
      </w:r>
      <w:r w:rsidR="0093657E" w:rsidRPr="00093D78">
        <w:rPr>
          <w:rFonts w:ascii="Times New Roman" w:hAnsi="Times New Roman"/>
          <w:sz w:val="24"/>
        </w:rPr>
        <w:t xml:space="preserve"> </w:t>
      </w:r>
    </w:p>
    <w:p w:rsidR="00207823" w:rsidRPr="0019774B" w:rsidRDefault="00F72E44" w:rsidP="007B3102">
      <w:pPr>
        <w:ind w:right="90"/>
        <w:jc w:val="both"/>
        <w:rPr>
          <w:rFonts w:ascii="Verdana" w:hAnsi="Verdana"/>
          <w:sz w:val="22"/>
          <w:szCs w:val="22"/>
        </w:rPr>
      </w:pPr>
      <w:r>
        <w:rPr>
          <w:rFonts w:ascii="Verdana" w:hAnsi="Verdana"/>
          <w:sz w:val="22"/>
          <w:szCs w:val="22"/>
        </w:rPr>
        <w:t xml:space="preserve">The </w:t>
      </w:r>
      <w:r w:rsidR="00207823" w:rsidRPr="00207823">
        <w:rPr>
          <w:rFonts w:ascii="Verdana" w:hAnsi="Verdana"/>
          <w:sz w:val="22"/>
          <w:szCs w:val="22"/>
        </w:rPr>
        <w:t xml:space="preserve">Community Assessment </w:t>
      </w:r>
      <w:r>
        <w:rPr>
          <w:rFonts w:ascii="Verdana" w:hAnsi="Verdana"/>
          <w:sz w:val="22"/>
          <w:szCs w:val="22"/>
        </w:rPr>
        <w:t xml:space="preserve">also </w:t>
      </w:r>
      <w:r w:rsidR="00207823" w:rsidRPr="00207823">
        <w:rPr>
          <w:rFonts w:ascii="Verdana" w:hAnsi="Verdana"/>
          <w:sz w:val="22"/>
          <w:szCs w:val="22"/>
        </w:rPr>
        <w:t xml:space="preserve">identified the need to provide assistance to working parents by offering services that would allow them to remain employed and participate in trainings. The proposed program </w:t>
      </w:r>
      <w:r w:rsidR="00207823" w:rsidRPr="0019774B">
        <w:rPr>
          <w:rFonts w:ascii="Verdana" w:hAnsi="Verdana"/>
          <w:sz w:val="22"/>
          <w:szCs w:val="22"/>
        </w:rPr>
        <w:t>option</w:t>
      </w:r>
      <w:r w:rsidR="00207823" w:rsidRPr="00207823">
        <w:rPr>
          <w:rFonts w:ascii="Verdana" w:hAnsi="Verdana"/>
          <w:sz w:val="22"/>
          <w:szCs w:val="22"/>
        </w:rPr>
        <w:t xml:space="preserve"> and service strategy for participants in the Hidalgo County Head Start expansion proje</w:t>
      </w:r>
      <w:r w:rsidR="00C55CF8">
        <w:rPr>
          <w:rFonts w:ascii="Verdana" w:hAnsi="Verdana"/>
          <w:sz w:val="22"/>
          <w:szCs w:val="22"/>
        </w:rPr>
        <w:t>ct is</w:t>
      </w:r>
      <w:r w:rsidR="00207823" w:rsidRPr="00207823">
        <w:rPr>
          <w:rFonts w:ascii="Verdana" w:hAnsi="Verdana"/>
          <w:sz w:val="22"/>
          <w:szCs w:val="22"/>
        </w:rPr>
        <w:t xml:space="preserve"> center-based, with the following </w:t>
      </w:r>
      <w:r w:rsidR="00207823" w:rsidRPr="0019774B">
        <w:rPr>
          <w:rFonts w:ascii="Verdana" w:hAnsi="Verdana"/>
          <w:sz w:val="22"/>
          <w:szCs w:val="22"/>
        </w:rPr>
        <w:t>hours of operation</w:t>
      </w:r>
      <w:r w:rsidR="0019774B">
        <w:rPr>
          <w:rFonts w:ascii="Verdana" w:hAnsi="Verdana"/>
          <w:sz w:val="22"/>
          <w:szCs w:val="22"/>
        </w:rPr>
        <w:t>:</w:t>
      </w:r>
    </w:p>
    <w:p w:rsidR="00207823" w:rsidRPr="0019774B" w:rsidRDefault="00207823" w:rsidP="007B3102">
      <w:pPr>
        <w:ind w:right="90"/>
        <w:jc w:val="both"/>
        <w:rPr>
          <w:rFonts w:ascii="Verdana" w:hAnsi="Verdana"/>
          <w:sz w:val="22"/>
          <w:szCs w:val="22"/>
        </w:rPr>
      </w:pPr>
    </w:p>
    <w:p w:rsidR="00207823" w:rsidRPr="00207823" w:rsidRDefault="00207823" w:rsidP="00207823">
      <w:pPr>
        <w:pStyle w:val="a"/>
        <w:numPr>
          <w:ilvl w:val="0"/>
          <w:numId w:val="14"/>
        </w:numPr>
        <w:tabs>
          <w:tab w:val="left" w:pos="-1440"/>
        </w:tabs>
        <w:ind w:right="90"/>
        <w:jc w:val="both"/>
        <w:rPr>
          <w:rFonts w:ascii="Verdana" w:hAnsi="Verdana"/>
          <w:sz w:val="22"/>
          <w:szCs w:val="22"/>
        </w:rPr>
      </w:pPr>
      <w:r w:rsidRPr="00207823">
        <w:rPr>
          <w:rFonts w:ascii="Verdana" w:hAnsi="Verdana"/>
          <w:sz w:val="22"/>
          <w:szCs w:val="22"/>
        </w:rPr>
        <w:t>Extended Day Service</w:t>
      </w:r>
      <w:r w:rsidRPr="00207823">
        <w:rPr>
          <w:rFonts w:ascii="Verdana" w:hAnsi="Verdana"/>
          <w:sz w:val="22"/>
          <w:szCs w:val="22"/>
        </w:rPr>
        <w:tab/>
        <w:t>7:30 am to 5:30 PM</w:t>
      </w:r>
    </w:p>
    <w:p w:rsidR="00207823" w:rsidRPr="00207823" w:rsidRDefault="00207823" w:rsidP="00207823">
      <w:pPr>
        <w:pStyle w:val="a"/>
        <w:numPr>
          <w:ilvl w:val="0"/>
          <w:numId w:val="14"/>
        </w:numPr>
        <w:tabs>
          <w:tab w:val="left" w:pos="-1440"/>
        </w:tabs>
        <w:ind w:right="90"/>
        <w:jc w:val="both"/>
        <w:rPr>
          <w:rFonts w:ascii="Verdana" w:hAnsi="Verdana"/>
          <w:sz w:val="22"/>
          <w:szCs w:val="22"/>
        </w:rPr>
      </w:pPr>
      <w:r w:rsidRPr="00207823">
        <w:rPr>
          <w:rFonts w:ascii="Verdana" w:hAnsi="Verdana"/>
          <w:sz w:val="22"/>
          <w:szCs w:val="22"/>
        </w:rPr>
        <w:t>Full Day Service</w:t>
      </w:r>
      <w:r w:rsidRPr="00207823">
        <w:rPr>
          <w:rFonts w:ascii="Verdana" w:hAnsi="Verdana"/>
          <w:sz w:val="22"/>
          <w:szCs w:val="22"/>
        </w:rPr>
        <w:tab/>
      </w:r>
      <w:r w:rsidRPr="00207823">
        <w:rPr>
          <w:rFonts w:ascii="Verdana" w:hAnsi="Verdana"/>
          <w:sz w:val="22"/>
          <w:szCs w:val="22"/>
        </w:rPr>
        <w:tab/>
        <w:t>7:30 am to 3:30 PM</w:t>
      </w:r>
    </w:p>
    <w:p w:rsidR="00032AE3" w:rsidRDefault="00207823" w:rsidP="00207823">
      <w:pPr>
        <w:pStyle w:val="a"/>
        <w:numPr>
          <w:ilvl w:val="0"/>
          <w:numId w:val="14"/>
        </w:numPr>
        <w:tabs>
          <w:tab w:val="left" w:pos="-1440"/>
        </w:tabs>
        <w:ind w:right="90"/>
        <w:jc w:val="both"/>
        <w:rPr>
          <w:rFonts w:ascii="Verdana" w:hAnsi="Verdana"/>
          <w:sz w:val="22"/>
          <w:szCs w:val="22"/>
        </w:rPr>
      </w:pPr>
      <w:r w:rsidRPr="00207823">
        <w:rPr>
          <w:rFonts w:ascii="Verdana" w:hAnsi="Verdana"/>
          <w:sz w:val="22"/>
          <w:szCs w:val="22"/>
        </w:rPr>
        <w:t>Part Day Service</w:t>
      </w:r>
      <w:r w:rsidRPr="00207823">
        <w:rPr>
          <w:rFonts w:ascii="Verdana" w:hAnsi="Verdana"/>
          <w:sz w:val="22"/>
          <w:szCs w:val="22"/>
        </w:rPr>
        <w:tab/>
      </w:r>
      <w:r w:rsidRPr="00207823">
        <w:rPr>
          <w:rFonts w:ascii="Verdana" w:hAnsi="Verdana"/>
          <w:sz w:val="22"/>
          <w:szCs w:val="22"/>
        </w:rPr>
        <w:tab/>
        <w:t>7:30 am to 1:00 PM</w:t>
      </w:r>
    </w:p>
    <w:p w:rsidR="00032AE3" w:rsidRDefault="00032AE3" w:rsidP="000D786C">
      <w:pPr>
        <w:pStyle w:val="a"/>
        <w:tabs>
          <w:tab w:val="left" w:pos="-1440"/>
        </w:tabs>
        <w:ind w:left="0" w:right="90" w:firstLine="0"/>
        <w:jc w:val="both"/>
        <w:rPr>
          <w:rFonts w:ascii="Verdana" w:hAnsi="Verdana"/>
          <w:sz w:val="22"/>
          <w:szCs w:val="22"/>
        </w:rPr>
      </w:pPr>
    </w:p>
    <w:p w:rsidR="00DF24F6" w:rsidRDefault="00DF24F6" w:rsidP="00032AE3">
      <w:pPr>
        <w:pStyle w:val="a"/>
        <w:tabs>
          <w:tab w:val="left" w:pos="-1440"/>
        </w:tabs>
        <w:ind w:right="90"/>
        <w:jc w:val="both"/>
        <w:rPr>
          <w:rFonts w:ascii="Verdana" w:hAnsi="Verdana"/>
          <w:sz w:val="22"/>
          <w:szCs w:val="22"/>
        </w:rPr>
      </w:pPr>
    </w:p>
    <w:p w:rsidR="00F72E44" w:rsidRDefault="00F72E44" w:rsidP="007B3102">
      <w:pPr>
        <w:pStyle w:val="a"/>
        <w:tabs>
          <w:tab w:val="left" w:pos="-1440"/>
        </w:tabs>
        <w:ind w:left="0" w:right="90" w:firstLine="0"/>
        <w:jc w:val="both"/>
        <w:rPr>
          <w:rFonts w:ascii="Verdana" w:hAnsi="Verdana"/>
          <w:sz w:val="22"/>
          <w:szCs w:val="22"/>
        </w:rPr>
      </w:pPr>
    </w:p>
    <w:p w:rsidR="009914DF" w:rsidRPr="004E7F96" w:rsidRDefault="00DF24F6" w:rsidP="00A63611">
      <w:pPr>
        <w:pStyle w:val="a"/>
        <w:tabs>
          <w:tab w:val="left" w:pos="-1440"/>
        </w:tabs>
        <w:ind w:left="0" w:right="90" w:firstLine="0"/>
        <w:jc w:val="both"/>
        <w:rPr>
          <w:rFonts w:ascii="Verdana" w:hAnsi="Verdana"/>
          <w:b/>
          <w:u w:val="single"/>
        </w:rPr>
      </w:pPr>
      <w:r w:rsidRPr="004E7F96">
        <w:rPr>
          <w:rFonts w:ascii="Verdana" w:hAnsi="Verdana"/>
          <w:b/>
          <w:u w:val="single"/>
        </w:rPr>
        <w:t>Training and Technical Assistance</w:t>
      </w:r>
    </w:p>
    <w:p w:rsidR="00DF24F6" w:rsidRPr="00AE5C9C" w:rsidRDefault="00DF24F6" w:rsidP="00A63611">
      <w:pPr>
        <w:pStyle w:val="a"/>
        <w:tabs>
          <w:tab w:val="left" w:pos="-1440"/>
        </w:tabs>
        <w:ind w:left="0" w:right="90" w:firstLine="0"/>
        <w:jc w:val="both"/>
        <w:rPr>
          <w:rFonts w:ascii="Verdana" w:hAnsi="Verdana"/>
        </w:rPr>
      </w:pPr>
    </w:p>
    <w:p w:rsidR="002A18D2" w:rsidRDefault="00D809BE" w:rsidP="00014FFB">
      <w:pPr>
        <w:jc w:val="both"/>
        <w:rPr>
          <w:rFonts w:ascii="Verdana" w:hAnsi="Verdana"/>
          <w:sz w:val="22"/>
          <w:szCs w:val="22"/>
        </w:rPr>
      </w:pPr>
      <w:r w:rsidRPr="00D809BE">
        <w:rPr>
          <w:rFonts w:ascii="Verdana" w:hAnsi="Verdana"/>
          <w:sz w:val="22"/>
          <w:szCs w:val="22"/>
        </w:rPr>
        <w:t>The</w:t>
      </w:r>
      <w:r>
        <w:rPr>
          <w:rFonts w:ascii="Verdana" w:hAnsi="Verdana"/>
          <w:b/>
          <w:sz w:val="22"/>
          <w:szCs w:val="22"/>
        </w:rPr>
        <w:t xml:space="preserve"> </w:t>
      </w:r>
      <w:r>
        <w:rPr>
          <w:rFonts w:ascii="Verdana" w:hAnsi="Verdana"/>
          <w:sz w:val="22"/>
          <w:szCs w:val="22"/>
        </w:rPr>
        <w:t xml:space="preserve">additional </w:t>
      </w:r>
      <w:r w:rsidR="00AC0A96" w:rsidRPr="00AC0A96">
        <w:rPr>
          <w:rFonts w:ascii="Verdana" w:hAnsi="Verdana"/>
          <w:b/>
          <w:sz w:val="22"/>
          <w:szCs w:val="22"/>
        </w:rPr>
        <w:t xml:space="preserve">Training and </w:t>
      </w:r>
      <w:r>
        <w:rPr>
          <w:rFonts w:ascii="Verdana" w:hAnsi="Verdana"/>
          <w:b/>
          <w:sz w:val="22"/>
          <w:szCs w:val="22"/>
        </w:rPr>
        <w:t>T</w:t>
      </w:r>
      <w:r w:rsidR="002E24C9">
        <w:rPr>
          <w:rFonts w:ascii="Verdana" w:hAnsi="Verdana"/>
          <w:b/>
          <w:sz w:val="22"/>
          <w:szCs w:val="22"/>
        </w:rPr>
        <w:t>echnical A</w:t>
      </w:r>
      <w:r w:rsidR="00AC0A96" w:rsidRPr="00AC0A96">
        <w:rPr>
          <w:rFonts w:ascii="Verdana" w:hAnsi="Verdana"/>
          <w:b/>
          <w:sz w:val="22"/>
          <w:szCs w:val="22"/>
        </w:rPr>
        <w:t>ssistance</w:t>
      </w:r>
      <w:r>
        <w:rPr>
          <w:rFonts w:ascii="Verdana" w:hAnsi="Verdana"/>
          <w:b/>
          <w:sz w:val="22"/>
          <w:szCs w:val="22"/>
        </w:rPr>
        <w:t xml:space="preserve"> </w:t>
      </w:r>
      <w:r w:rsidR="00C55CF8">
        <w:rPr>
          <w:rFonts w:ascii="Verdana" w:hAnsi="Verdana"/>
          <w:b/>
          <w:sz w:val="22"/>
          <w:szCs w:val="22"/>
        </w:rPr>
        <w:t xml:space="preserve">funds </w:t>
      </w:r>
      <w:r w:rsidR="002A18D2" w:rsidRPr="00EB2007">
        <w:rPr>
          <w:rFonts w:ascii="Verdana" w:hAnsi="Verdana"/>
          <w:sz w:val="22"/>
          <w:szCs w:val="22"/>
        </w:rPr>
        <w:t xml:space="preserve">will </w:t>
      </w:r>
      <w:r w:rsidR="002A18D2">
        <w:rPr>
          <w:rFonts w:ascii="Verdana" w:hAnsi="Verdana"/>
          <w:sz w:val="22"/>
          <w:szCs w:val="22"/>
        </w:rPr>
        <w:t xml:space="preserve">make it possible for </w:t>
      </w:r>
      <w:r w:rsidR="002A18D2" w:rsidRPr="00EB2007">
        <w:rPr>
          <w:rFonts w:ascii="Verdana" w:hAnsi="Verdana"/>
          <w:sz w:val="22"/>
          <w:szCs w:val="22"/>
        </w:rPr>
        <w:t>the</w:t>
      </w:r>
      <w:r w:rsidR="002A18D2">
        <w:rPr>
          <w:rFonts w:ascii="Verdana" w:hAnsi="Verdana"/>
          <w:sz w:val="22"/>
          <w:szCs w:val="22"/>
        </w:rPr>
        <w:t xml:space="preserve"> Hidalgo County Head Start </w:t>
      </w:r>
      <w:r w:rsidR="002A18D2" w:rsidRPr="00EB2007">
        <w:rPr>
          <w:rFonts w:ascii="Verdana" w:hAnsi="Verdana"/>
          <w:sz w:val="22"/>
          <w:szCs w:val="22"/>
        </w:rPr>
        <w:t>Program</w:t>
      </w:r>
      <w:r w:rsidR="002A18D2">
        <w:rPr>
          <w:rFonts w:ascii="Verdana" w:hAnsi="Verdana"/>
          <w:sz w:val="22"/>
          <w:szCs w:val="22"/>
        </w:rPr>
        <w:t xml:space="preserve"> to</w:t>
      </w:r>
      <w:r w:rsidR="002A18D2" w:rsidRPr="00EB2007">
        <w:rPr>
          <w:rFonts w:ascii="Verdana" w:hAnsi="Verdana"/>
          <w:sz w:val="22"/>
          <w:szCs w:val="22"/>
        </w:rPr>
        <w:t xml:space="preserve"> </w:t>
      </w:r>
      <w:r w:rsidR="002E24C9">
        <w:rPr>
          <w:rFonts w:ascii="Verdana" w:hAnsi="Verdana"/>
          <w:sz w:val="22"/>
          <w:szCs w:val="22"/>
        </w:rPr>
        <w:t xml:space="preserve">address the training and professional development needs of the staff employed under the Expansion Funds.  This group includes 7 teachers, 7 assistant teachers, 4 bus drivers, 4 bus aides, 2 support service assistants, and 2 clerks. </w:t>
      </w:r>
      <w:r w:rsidR="0040473C">
        <w:rPr>
          <w:rFonts w:ascii="Verdana" w:hAnsi="Verdana"/>
          <w:sz w:val="22"/>
          <w:szCs w:val="22"/>
        </w:rPr>
        <w:t xml:space="preserve">These funds </w:t>
      </w:r>
      <w:r w:rsidR="00E70FAB">
        <w:rPr>
          <w:rFonts w:ascii="Verdana" w:hAnsi="Verdana"/>
          <w:sz w:val="22"/>
          <w:szCs w:val="22"/>
        </w:rPr>
        <w:t>will supplement</w:t>
      </w:r>
      <w:r w:rsidR="0040473C">
        <w:rPr>
          <w:rFonts w:ascii="Verdana" w:hAnsi="Verdana"/>
          <w:sz w:val="22"/>
          <w:szCs w:val="22"/>
        </w:rPr>
        <w:t xml:space="preserve"> Hidalgo County’s Hea</w:t>
      </w:r>
      <w:r w:rsidR="00E70FAB">
        <w:rPr>
          <w:rFonts w:ascii="Verdana" w:hAnsi="Verdana"/>
          <w:sz w:val="22"/>
          <w:szCs w:val="22"/>
        </w:rPr>
        <w:t>d Start continuous commitment to</w:t>
      </w:r>
      <w:r w:rsidR="0040473C">
        <w:rPr>
          <w:rFonts w:ascii="Verdana" w:hAnsi="Verdana"/>
          <w:sz w:val="22"/>
          <w:szCs w:val="22"/>
        </w:rPr>
        <w:t xml:space="preserve"> the professional development of staff. </w:t>
      </w:r>
      <w:r w:rsidR="002E24C9">
        <w:rPr>
          <w:rFonts w:ascii="Verdana" w:hAnsi="Verdana"/>
          <w:sz w:val="22"/>
          <w:szCs w:val="22"/>
        </w:rPr>
        <w:t>The</w:t>
      </w:r>
      <w:r w:rsidR="002E24C9" w:rsidRPr="00D809BE">
        <w:rPr>
          <w:rFonts w:ascii="Verdana" w:hAnsi="Verdana"/>
          <w:sz w:val="22"/>
          <w:szCs w:val="22"/>
        </w:rPr>
        <w:t xml:space="preserve"> classroom personnel </w:t>
      </w:r>
      <w:r w:rsidR="002E24C9">
        <w:rPr>
          <w:rFonts w:ascii="Verdana" w:hAnsi="Verdana"/>
          <w:sz w:val="22"/>
          <w:szCs w:val="22"/>
        </w:rPr>
        <w:t>will continue to be</w:t>
      </w:r>
      <w:r w:rsidR="002E24C9" w:rsidRPr="00D809BE">
        <w:rPr>
          <w:rFonts w:ascii="Verdana" w:hAnsi="Verdana"/>
          <w:sz w:val="22"/>
          <w:szCs w:val="22"/>
        </w:rPr>
        <w:t xml:space="preserve"> provided with educational benefits to enhance their level of education, thus directly impacting the development process of our children and families.</w:t>
      </w:r>
      <w:r w:rsidR="00E70FAB">
        <w:rPr>
          <w:rFonts w:ascii="Verdana" w:hAnsi="Verdana"/>
          <w:sz w:val="22"/>
          <w:szCs w:val="22"/>
        </w:rPr>
        <w:t xml:space="preserve"> The intent is </w:t>
      </w:r>
      <w:r w:rsidR="002379B2">
        <w:rPr>
          <w:rFonts w:ascii="Verdana" w:hAnsi="Verdana"/>
          <w:sz w:val="22"/>
          <w:szCs w:val="22"/>
        </w:rPr>
        <w:t xml:space="preserve">having 50% of the teachers </w:t>
      </w:r>
      <w:r w:rsidR="00E70FAB">
        <w:rPr>
          <w:rFonts w:ascii="Verdana" w:hAnsi="Verdana"/>
          <w:sz w:val="22"/>
          <w:szCs w:val="22"/>
        </w:rPr>
        <w:t>meet t</w:t>
      </w:r>
      <w:r w:rsidR="002379B2">
        <w:rPr>
          <w:rFonts w:ascii="Verdana" w:hAnsi="Verdana"/>
          <w:sz w:val="22"/>
          <w:szCs w:val="22"/>
        </w:rPr>
        <w:t>he Head Start mandate for a bachelor’s degree by 2013.</w:t>
      </w:r>
      <w:r w:rsidR="002E24C9" w:rsidRPr="00D809BE">
        <w:rPr>
          <w:rFonts w:ascii="Verdana" w:hAnsi="Verdana"/>
          <w:sz w:val="22"/>
          <w:szCs w:val="22"/>
        </w:rPr>
        <w:t xml:space="preserve">  </w:t>
      </w:r>
      <w:r w:rsidR="0040473C">
        <w:rPr>
          <w:rFonts w:ascii="Verdana" w:hAnsi="Verdana"/>
          <w:sz w:val="22"/>
          <w:szCs w:val="22"/>
        </w:rPr>
        <w:t xml:space="preserve">Non-classroom staff will also be offered the opportunity to pursue a degree in early childhood education.  </w:t>
      </w:r>
      <w:r w:rsidR="002E24C9">
        <w:rPr>
          <w:rFonts w:ascii="Verdana" w:hAnsi="Verdana"/>
          <w:sz w:val="22"/>
          <w:szCs w:val="22"/>
        </w:rPr>
        <w:t>Staff is</w:t>
      </w:r>
      <w:r w:rsidR="002E24C9" w:rsidRPr="00D809BE">
        <w:rPr>
          <w:rFonts w:ascii="Verdana" w:hAnsi="Verdana"/>
          <w:sz w:val="22"/>
          <w:szCs w:val="22"/>
        </w:rPr>
        <w:t xml:space="preserve"> reimbursed for all educational expenses as they pursue Associate’s or Bachelor’s degrees in early childhood education and are also provided with paid educational leave to accomplish their educational goals. </w:t>
      </w:r>
      <w:r w:rsidR="002E24C9">
        <w:rPr>
          <w:rFonts w:ascii="Verdana" w:hAnsi="Verdana"/>
          <w:sz w:val="22"/>
          <w:szCs w:val="22"/>
        </w:rPr>
        <w:t xml:space="preserve"> </w:t>
      </w:r>
    </w:p>
    <w:p w:rsidR="00F2470F" w:rsidRDefault="00F2470F" w:rsidP="00014FFB">
      <w:pPr>
        <w:jc w:val="both"/>
        <w:rPr>
          <w:rFonts w:ascii="Verdana" w:hAnsi="Verdana"/>
          <w:sz w:val="22"/>
          <w:szCs w:val="22"/>
        </w:rPr>
      </w:pPr>
    </w:p>
    <w:p w:rsidR="00F2470F" w:rsidRDefault="00F2470F" w:rsidP="00014FFB">
      <w:pPr>
        <w:jc w:val="both"/>
        <w:rPr>
          <w:rFonts w:ascii="Verdana" w:hAnsi="Verdana"/>
          <w:sz w:val="22"/>
          <w:szCs w:val="22"/>
        </w:rPr>
      </w:pPr>
      <w:r>
        <w:rPr>
          <w:rFonts w:ascii="Verdana" w:hAnsi="Verdana"/>
          <w:sz w:val="22"/>
          <w:szCs w:val="22"/>
        </w:rPr>
        <w:t>Staff members who receive reimbursement for educational expenses must commit to remain working for the Program for at least three years after receiving the associate’s or bachelor’s degree.  So these funds will also benefit the Program in the retention of qualified staff.</w:t>
      </w:r>
    </w:p>
    <w:p w:rsidR="00D809BE" w:rsidRPr="00D809BE" w:rsidRDefault="00D809BE" w:rsidP="00014FFB">
      <w:pPr>
        <w:jc w:val="both"/>
        <w:rPr>
          <w:rFonts w:ascii="Verdana" w:hAnsi="Verdana"/>
          <w:bCs/>
          <w:sz w:val="22"/>
          <w:szCs w:val="22"/>
        </w:rPr>
      </w:pPr>
    </w:p>
    <w:p w:rsidR="002D5FB5" w:rsidRPr="002D5FB5" w:rsidRDefault="00E70FAB" w:rsidP="002D5FB5">
      <w:pPr>
        <w:jc w:val="both"/>
        <w:rPr>
          <w:rFonts w:ascii="Verdana" w:hAnsi="Verdana"/>
          <w:sz w:val="22"/>
          <w:szCs w:val="22"/>
        </w:rPr>
      </w:pPr>
      <w:r>
        <w:rPr>
          <w:rFonts w:ascii="Verdana" w:hAnsi="Verdana"/>
          <w:sz w:val="22"/>
          <w:szCs w:val="22"/>
        </w:rPr>
        <w:t>This funding opportunity</w:t>
      </w:r>
      <w:r w:rsidR="00DF24F6">
        <w:rPr>
          <w:rFonts w:ascii="Verdana" w:hAnsi="Verdana"/>
          <w:sz w:val="22"/>
          <w:szCs w:val="22"/>
        </w:rPr>
        <w:t xml:space="preserve"> </w:t>
      </w:r>
      <w:r w:rsidR="00BE6004">
        <w:rPr>
          <w:rFonts w:ascii="Verdana" w:hAnsi="Verdana"/>
          <w:sz w:val="22"/>
          <w:szCs w:val="22"/>
        </w:rPr>
        <w:t>will</w:t>
      </w:r>
      <w:r w:rsidR="00DF24F6">
        <w:rPr>
          <w:rFonts w:ascii="Verdana" w:hAnsi="Verdana"/>
          <w:sz w:val="22"/>
          <w:szCs w:val="22"/>
        </w:rPr>
        <w:t xml:space="preserve"> also</w:t>
      </w:r>
      <w:r w:rsidR="00BE6004">
        <w:rPr>
          <w:rFonts w:ascii="Verdana" w:hAnsi="Verdana"/>
          <w:sz w:val="22"/>
          <w:szCs w:val="22"/>
        </w:rPr>
        <w:t xml:space="preserve"> make it possible for the Hidalgo County Head Start Program to </w:t>
      </w:r>
      <w:r w:rsidR="00B27EDC">
        <w:rPr>
          <w:rFonts w:ascii="Verdana" w:hAnsi="Verdana"/>
          <w:sz w:val="22"/>
          <w:szCs w:val="22"/>
        </w:rPr>
        <w:t xml:space="preserve">realize substantial gains in </w:t>
      </w:r>
      <w:r w:rsidR="00BE6004">
        <w:rPr>
          <w:rFonts w:ascii="Verdana" w:hAnsi="Verdana"/>
          <w:sz w:val="22"/>
          <w:szCs w:val="22"/>
        </w:rPr>
        <w:t>meet</w:t>
      </w:r>
      <w:r w:rsidR="00B27EDC">
        <w:rPr>
          <w:rFonts w:ascii="Verdana" w:hAnsi="Verdana"/>
          <w:sz w:val="22"/>
          <w:szCs w:val="22"/>
        </w:rPr>
        <w:t xml:space="preserve">ing </w:t>
      </w:r>
      <w:r w:rsidR="00BE6004">
        <w:rPr>
          <w:rFonts w:ascii="Verdana" w:hAnsi="Verdana"/>
          <w:sz w:val="22"/>
          <w:szCs w:val="22"/>
        </w:rPr>
        <w:t xml:space="preserve">its </w:t>
      </w:r>
      <w:r w:rsidR="00B27EDC">
        <w:rPr>
          <w:rFonts w:ascii="Verdana" w:hAnsi="Verdana"/>
          <w:sz w:val="22"/>
          <w:szCs w:val="22"/>
        </w:rPr>
        <w:t xml:space="preserve">long term </w:t>
      </w:r>
      <w:r w:rsidR="00BE6004" w:rsidRPr="00DF24F6">
        <w:rPr>
          <w:rFonts w:ascii="Verdana" w:hAnsi="Verdana"/>
          <w:sz w:val="22"/>
          <w:szCs w:val="22"/>
        </w:rPr>
        <w:t>goals and objectives</w:t>
      </w:r>
      <w:r w:rsidR="00BE6004">
        <w:rPr>
          <w:rFonts w:ascii="Verdana" w:hAnsi="Verdana"/>
          <w:b/>
          <w:sz w:val="22"/>
          <w:szCs w:val="22"/>
        </w:rPr>
        <w:t xml:space="preserve"> </w:t>
      </w:r>
      <w:r w:rsidR="00BE6004">
        <w:rPr>
          <w:rFonts w:ascii="Verdana" w:hAnsi="Verdana"/>
          <w:sz w:val="22"/>
          <w:szCs w:val="22"/>
        </w:rPr>
        <w:t xml:space="preserve">outlined </w:t>
      </w:r>
      <w:r w:rsidR="00DF24F6">
        <w:rPr>
          <w:rFonts w:ascii="Verdana" w:hAnsi="Verdana"/>
          <w:sz w:val="22"/>
          <w:szCs w:val="22"/>
        </w:rPr>
        <w:t>in the Strategic P</w:t>
      </w:r>
      <w:r w:rsidR="00B27EDC">
        <w:rPr>
          <w:rFonts w:ascii="Verdana" w:hAnsi="Verdana"/>
          <w:sz w:val="22"/>
          <w:szCs w:val="22"/>
        </w:rPr>
        <w:t>lan, while implementing measures to address our more immediate and short term needs.</w:t>
      </w:r>
      <w:r w:rsidR="00E808FC">
        <w:rPr>
          <w:rFonts w:ascii="Verdana" w:hAnsi="Verdana"/>
          <w:sz w:val="22"/>
          <w:szCs w:val="22"/>
        </w:rPr>
        <w:t xml:space="preserve"> </w:t>
      </w:r>
      <w:r w:rsidR="00C55CF8">
        <w:rPr>
          <w:rFonts w:ascii="Verdana" w:hAnsi="Verdana"/>
          <w:sz w:val="22"/>
          <w:szCs w:val="22"/>
        </w:rPr>
        <w:t>Our goal is</w:t>
      </w:r>
      <w:r w:rsidR="00652155">
        <w:rPr>
          <w:rFonts w:ascii="Verdana" w:hAnsi="Verdana"/>
          <w:sz w:val="22"/>
          <w:szCs w:val="22"/>
        </w:rPr>
        <w:t xml:space="preserve"> to promote</w:t>
      </w:r>
      <w:r w:rsidR="00652155" w:rsidRPr="00652155">
        <w:rPr>
          <w:rFonts w:ascii="Verdana" w:hAnsi="Verdana"/>
          <w:iCs/>
          <w:smallCaps/>
          <w:sz w:val="22"/>
          <w:szCs w:val="22"/>
        </w:rPr>
        <w:t xml:space="preserve"> </w:t>
      </w:r>
      <w:r w:rsidR="00652155" w:rsidRPr="002D5FB5">
        <w:rPr>
          <w:rFonts w:ascii="Verdana" w:hAnsi="Verdana"/>
          <w:iCs/>
          <w:smallCaps/>
          <w:sz w:val="22"/>
          <w:szCs w:val="22"/>
        </w:rPr>
        <w:t>Workforce Development</w:t>
      </w:r>
      <w:r w:rsidR="00652155">
        <w:rPr>
          <w:rFonts w:ascii="Verdana" w:hAnsi="Verdana"/>
          <w:iCs/>
          <w:smallCaps/>
          <w:sz w:val="22"/>
          <w:szCs w:val="22"/>
        </w:rPr>
        <w:t>, I</w:t>
      </w:r>
      <w:r w:rsidR="00652155" w:rsidRPr="002D5FB5">
        <w:rPr>
          <w:rFonts w:ascii="Verdana" w:hAnsi="Verdana"/>
          <w:iCs/>
          <w:smallCaps/>
          <w:sz w:val="22"/>
          <w:szCs w:val="22"/>
        </w:rPr>
        <w:t>nfrastructure Development</w:t>
      </w:r>
      <w:r w:rsidR="00652155">
        <w:rPr>
          <w:rFonts w:ascii="Verdana" w:hAnsi="Verdana"/>
          <w:iCs/>
          <w:smallCaps/>
          <w:sz w:val="22"/>
          <w:szCs w:val="22"/>
        </w:rPr>
        <w:t xml:space="preserve"> and </w:t>
      </w:r>
      <w:r w:rsidR="00652155" w:rsidRPr="002D5FB5">
        <w:rPr>
          <w:rFonts w:ascii="Verdana" w:hAnsi="Verdana"/>
          <w:iCs/>
          <w:smallCaps/>
          <w:sz w:val="22"/>
          <w:szCs w:val="22"/>
        </w:rPr>
        <w:t>Program and Services Developmen</w:t>
      </w:r>
      <w:r>
        <w:rPr>
          <w:rFonts w:ascii="Verdana" w:hAnsi="Verdana"/>
          <w:iCs/>
          <w:smallCaps/>
          <w:sz w:val="22"/>
          <w:szCs w:val="22"/>
        </w:rPr>
        <w:t>t.</w:t>
      </w:r>
    </w:p>
    <w:p w:rsidR="002D5FB5" w:rsidRDefault="002D5FB5" w:rsidP="00014FFB">
      <w:pPr>
        <w:jc w:val="both"/>
        <w:rPr>
          <w:rFonts w:ascii="Verdana" w:hAnsi="Verdana"/>
          <w:iCs/>
          <w:smallCaps/>
          <w:sz w:val="22"/>
          <w:szCs w:val="22"/>
        </w:rPr>
      </w:pPr>
    </w:p>
    <w:p w:rsidR="000D786C" w:rsidRDefault="000D786C" w:rsidP="00014FFB">
      <w:pPr>
        <w:jc w:val="both"/>
        <w:rPr>
          <w:rFonts w:ascii="Verdana" w:hAnsi="Verdana"/>
          <w:iCs/>
          <w:smallCaps/>
          <w:sz w:val="22"/>
          <w:szCs w:val="22"/>
        </w:rPr>
      </w:pPr>
    </w:p>
    <w:p w:rsidR="007B3102" w:rsidRPr="004E7F96" w:rsidRDefault="007B3102" w:rsidP="00E7292F">
      <w:pPr>
        <w:jc w:val="both"/>
        <w:rPr>
          <w:rFonts w:ascii="Verdana" w:hAnsi="Verdana"/>
          <w:b/>
          <w:u w:val="single"/>
        </w:rPr>
      </w:pPr>
      <w:r w:rsidRPr="004E7F96">
        <w:rPr>
          <w:rFonts w:ascii="Verdana" w:hAnsi="Verdana"/>
          <w:b/>
          <w:u w:val="single"/>
        </w:rPr>
        <w:t>Staff Qualifications</w:t>
      </w:r>
    </w:p>
    <w:p w:rsidR="007B3102" w:rsidRPr="00AE5C9C" w:rsidRDefault="007B3102" w:rsidP="00E7292F">
      <w:pPr>
        <w:jc w:val="both"/>
        <w:rPr>
          <w:rFonts w:ascii="Verdana" w:hAnsi="Verdana"/>
        </w:rPr>
      </w:pPr>
    </w:p>
    <w:p w:rsidR="00D463AB" w:rsidRDefault="00D463AB" w:rsidP="00E7292F">
      <w:pPr>
        <w:jc w:val="both"/>
        <w:rPr>
          <w:rFonts w:ascii="Verdana" w:hAnsi="Verdana"/>
          <w:sz w:val="22"/>
          <w:szCs w:val="22"/>
        </w:rPr>
      </w:pPr>
      <w:r>
        <w:rPr>
          <w:rFonts w:ascii="Verdana" w:hAnsi="Verdana"/>
          <w:sz w:val="22"/>
          <w:szCs w:val="22"/>
        </w:rPr>
        <w:t>The Hidalgo County Head Star</w:t>
      </w:r>
      <w:r w:rsidR="00702CDD">
        <w:rPr>
          <w:rFonts w:ascii="Verdana" w:hAnsi="Verdana"/>
          <w:sz w:val="22"/>
          <w:szCs w:val="22"/>
        </w:rPr>
        <w:t>t Program employs a total of 830</w:t>
      </w:r>
      <w:r>
        <w:rPr>
          <w:rFonts w:ascii="Verdana" w:hAnsi="Verdana"/>
          <w:sz w:val="22"/>
          <w:szCs w:val="22"/>
        </w:rPr>
        <w:t xml:space="preserve"> staff members, including 57 substitute teachers and 26 Child Nutrition employees funded under the Texas Department of Agriculture.  All employees hired meet the qualifications specified for the approved job description for any given position.  </w:t>
      </w:r>
    </w:p>
    <w:p w:rsidR="00D463AB" w:rsidRDefault="00D463AB" w:rsidP="00E7292F">
      <w:pPr>
        <w:jc w:val="both"/>
        <w:rPr>
          <w:rFonts w:ascii="Verdana" w:hAnsi="Verdana"/>
          <w:sz w:val="22"/>
          <w:szCs w:val="22"/>
        </w:rPr>
      </w:pPr>
    </w:p>
    <w:p w:rsidR="00832608" w:rsidRDefault="00C55CF8" w:rsidP="00E7292F">
      <w:pPr>
        <w:jc w:val="both"/>
        <w:rPr>
          <w:rFonts w:ascii="Verdana" w:hAnsi="Verdana"/>
          <w:sz w:val="22"/>
          <w:szCs w:val="22"/>
        </w:rPr>
      </w:pPr>
      <w:r>
        <w:rPr>
          <w:rFonts w:ascii="Verdana" w:hAnsi="Verdana"/>
          <w:sz w:val="22"/>
          <w:szCs w:val="22"/>
        </w:rPr>
        <w:t>The Program places emphasis o</w:t>
      </w:r>
      <w:r w:rsidR="003C6B02">
        <w:rPr>
          <w:rFonts w:ascii="Verdana" w:hAnsi="Verdana"/>
          <w:sz w:val="22"/>
          <w:szCs w:val="22"/>
        </w:rPr>
        <w:t>n upgrading job descriptions</w:t>
      </w:r>
      <w:r w:rsidR="00832608">
        <w:rPr>
          <w:rFonts w:ascii="Verdana" w:hAnsi="Verdana"/>
          <w:sz w:val="22"/>
          <w:szCs w:val="22"/>
        </w:rPr>
        <w:t xml:space="preserve"> of key positions</w:t>
      </w:r>
      <w:r w:rsidR="003C6B02">
        <w:rPr>
          <w:rFonts w:ascii="Verdana" w:hAnsi="Verdana"/>
          <w:sz w:val="22"/>
          <w:szCs w:val="22"/>
        </w:rPr>
        <w:t xml:space="preserve"> so that vacancies created through attrition/resignations </w:t>
      </w:r>
      <w:r w:rsidR="00832608">
        <w:rPr>
          <w:rFonts w:ascii="Verdana" w:hAnsi="Verdana"/>
          <w:sz w:val="22"/>
          <w:szCs w:val="22"/>
        </w:rPr>
        <w:t>require the replacement to have a college degree</w:t>
      </w:r>
      <w:r w:rsidR="00D951F3">
        <w:rPr>
          <w:rFonts w:ascii="Verdana" w:hAnsi="Verdana"/>
          <w:sz w:val="22"/>
          <w:szCs w:val="22"/>
        </w:rPr>
        <w:t xml:space="preserve"> when appropriate</w:t>
      </w:r>
      <w:r w:rsidR="00832608">
        <w:rPr>
          <w:rFonts w:ascii="Verdana" w:hAnsi="Verdana"/>
          <w:sz w:val="22"/>
          <w:szCs w:val="22"/>
        </w:rPr>
        <w:t>.</w:t>
      </w:r>
      <w:r w:rsidR="003C6B02">
        <w:rPr>
          <w:rFonts w:ascii="Verdana" w:hAnsi="Verdana"/>
          <w:sz w:val="22"/>
          <w:szCs w:val="22"/>
        </w:rPr>
        <w:t xml:space="preserve"> Additionally, </w:t>
      </w:r>
      <w:r w:rsidR="00832608">
        <w:rPr>
          <w:rFonts w:ascii="Verdana" w:hAnsi="Verdana"/>
          <w:sz w:val="22"/>
          <w:szCs w:val="22"/>
        </w:rPr>
        <w:t xml:space="preserve">paid </w:t>
      </w:r>
      <w:r w:rsidR="003C6B02">
        <w:rPr>
          <w:rFonts w:ascii="Verdana" w:hAnsi="Verdana"/>
          <w:sz w:val="22"/>
          <w:szCs w:val="22"/>
        </w:rPr>
        <w:t>educational leave is provided fo</w:t>
      </w:r>
      <w:r w:rsidR="00832608">
        <w:rPr>
          <w:rFonts w:ascii="Verdana" w:hAnsi="Verdana"/>
          <w:sz w:val="22"/>
          <w:szCs w:val="22"/>
        </w:rPr>
        <w:t xml:space="preserve">r </w:t>
      </w:r>
      <w:r w:rsidR="003C6B02">
        <w:rPr>
          <w:rFonts w:ascii="Verdana" w:hAnsi="Verdana"/>
          <w:sz w:val="22"/>
          <w:szCs w:val="22"/>
        </w:rPr>
        <w:t xml:space="preserve">non-classroom </w:t>
      </w:r>
      <w:r w:rsidR="00832608">
        <w:rPr>
          <w:rFonts w:ascii="Verdana" w:hAnsi="Verdana"/>
          <w:sz w:val="22"/>
          <w:szCs w:val="22"/>
        </w:rPr>
        <w:t>staff</w:t>
      </w:r>
      <w:r w:rsidR="00832608">
        <w:rPr>
          <w:rFonts w:ascii="Verdana" w:hAnsi="Verdana"/>
          <w:b/>
          <w:sz w:val="22"/>
          <w:szCs w:val="22"/>
        </w:rPr>
        <w:t xml:space="preserve"> </w:t>
      </w:r>
      <w:r w:rsidR="00832608">
        <w:rPr>
          <w:rFonts w:ascii="Verdana" w:hAnsi="Verdana"/>
          <w:sz w:val="22"/>
          <w:szCs w:val="22"/>
        </w:rPr>
        <w:t xml:space="preserve">members </w:t>
      </w:r>
      <w:r w:rsidR="003C6B02">
        <w:rPr>
          <w:rFonts w:ascii="Verdana" w:hAnsi="Verdana"/>
          <w:sz w:val="22"/>
          <w:szCs w:val="22"/>
        </w:rPr>
        <w:t xml:space="preserve">who </w:t>
      </w:r>
      <w:r w:rsidR="00832608">
        <w:rPr>
          <w:rFonts w:ascii="Verdana" w:hAnsi="Verdana"/>
          <w:sz w:val="22"/>
          <w:szCs w:val="22"/>
        </w:rPr>
        <w:t>are</w:t>
      </w:r>
      <w:r w:rsidR="003C6B02">
        <w:rPr>
          <w:rFonts w:ascii="Verdana" w:hAnsi="Verdana"/>
          <w:sz w:val="22"/>
          <w:szCs w:val="22"/>
        </w:rPr>
        <w:t xml:space="preserve"> currently seeking an associate’s, a bachelor’s degree, or a master’s degree</w:t>
      </w:r>
      <w:r w:rsidR="00832608">
        <w:rPr>
          <w:rFonts w:ascii="Verdana" w:hAnsi="Verdana"/>
          <w:sz w:val="22"/>
          <w:szCs w:val="22"/>
        </w:rPr>
        <w:t xml:space="preserve"> in their area of assignment</w:t>
      </w:r>
      <w:r w:rsidR="003C6B02">
        <w:rPr>
          <w:rFonts w:ascii="Verdana" w:hAnsi="Verdana"/>
          <w:sz w:val="22"/>
          <w:szCs w:val="22"/>
        </w:rPr>
        <w:t xml:space="preserve">.  Financial assistance on a first come first serve basis is also provided </w:t>
      </w:r>
      <w:r w:rsidR="00832608">
        <w:rPr>
          <w:rFonts w:ascii="Verdana" w:hAnsi="Verdana"/>
          <w:sz w:val="22"/>
          <w:szCs w:val="22"/>
        </w:rPr>
        <w:t>for</w:t>
      </w:r>
      <w:r w:rsidR="003C6B02">
        <w:rPr>
          <w:rFonts w:ascii="Verdana" w:hAnsi="Verdana"/>
          <w:sz w:val="22"/>
          <w:szCs w:val="22"/>
        </w:rPr>
        <w:t xml:space="preserve"> staff pursuing </w:t>
      </w:r>
      <w:r w:rsidR="00832608">
        <w:rPr>
          <w:rFonts w:ascii="Verdana" w:hAnsi="Verdana"/>
          <w:sz w:val="22"/>
          <w:szCs w:val="22"/>
        </w:rPr>
        <w:t xml:space="preserve">an associate’s or </w:t>
      </w:r>
      <w:r w:rsidR="003C6B02">
        <w:rPr>
          <w:rFonts w:ascii="Verdana" w:hAnsi="Verdana"/>
          <w:sz w:val="22"/>
          <w:szCs w:val="22"/>
        </w:rPr>
        <w:t>a bachelor’s de</w:t>
      </w:r>
      <w:r w:rsidR="00832608">
        <w:rPr>
          <w:rFonts w:ascii="Verdana" w:hAnsi="Verdana"/>
          <w:sz w:val="22"/>
          <w:szCs w:val="22"/>
        </w:rPr>
        <w:t>gree</w:t>
      </w:r>
      <w:r w:rsidR="003C6B02">
        <w:rPr>
          <w:rFonts w:ascii="Verdana" w:hAnsi="Verdana"/>
          <w:sz w:val="22"/>
          <w:szCs w:val="22"/>
        </w:rPr>
        <w:t xml:space="preserve">.  </w:t>
      </w:r>
    </w:p>
    <w:p w:rsidR="00832608" w:rsidRDefault="00832608" w:rsidP="00E7292F">
      <w:pPr>
        <w:jc w:val="both"/>
        <w:rPr>
          <w:rFonts w:ascii="Verdana" w:hAnsi="Verdana"/>
          <w:sz w:val="22"/>
          <w:szCs w:val="22"/>
        </w:rPr>
      </w:pPr>
    </w:p>
    <w:p w:rsidR="00F17243" w:rsidRDefault="00D463AB" w:rsidP="00E7292F">
      <w:pPr>
        <w:jc w:val="both"/>
        <w:rPr>
          <w:rFonts w:ascii="Verdana" w:hAnsi="Verdana"/>
          <w:sz w:val="22"/>
          <w:szCs w:val="22"/>
        </w:rPr>
      </w:pPr>
      <w:r>
        <w:rPr>
          <w:rFonts w:ascii="Verdana" w:hAnsi="Verdana"/>
          <w:sz w:val="22"/>
          <w:szCs w:val="22"/>
        </w:rPr>
        <w:t xml:space="preserve">Currently there are 303 employees with college degrees serving in different capacities.  Thirteen staff in administrative/supervisory hold master’s degrees including the Executive Program Director.  Of the </w:t>
      </w:r>
      <w:r w:rsidR="00116E47">
        <w:rPr>
          <w:rFonts w:ascii="Verdana" w:hAnsi="Verdana"/>
          <w:sz w:val="22"/>
          <w:szCs w:val="22"/>
        </w:rPr>
        <w:t>one-hundred ninety-nine (</w:t>
      </w:r>
      <w:r>
        <w:rPr>
          <w:rFonts w:ascii="Verdana" w:hAnsi="Verdana"/>
          <w:sz w:val="22"/>
          <w:szCs w:val="22"/>
        </w:rPr>
        <w:t>199</w:t>
      </w:r>
      <w:r w:rsidR="00116E47">
        <w:rPr>
          <w:rFonts w:ascii="Verdana" w:hAnsi="Verdana"/>
          <w:sz w:val="22"/>
          <w:szCs w:val="22"/>
        </w:rPr>
        <w:t>)</w:t>
      </w:r>
      <w:r>
        <w:rPr>
          <w:rFonts w:ascii="Verdana" w:hAnsi="Verdana"/>
          <w:sz w:val="22"/>
          <w:szCs w:val="22"/>
        </w:rPr>
        <w:t xml:space="preserve"> teachers in the Program, </w:t>
      </w:r>
      <w:r w:rsidR="00116E47">
        <w:rPr>
          <w:rFonts w:ascii="Verdana" w:hAnsi="Verdana"/>
          <w:sz w:val="22"/>
          <w:szCs w:val="22"/>
        </w:rPr>
        <w:t>one-hundred thirty-nine (</w:t>
      </w:r>
      <w:r>
        <w:rPr>
          <w:rFonts w:ascii="Verdana" w:hAnsi="Verdana"/>
          <w:sz w:val="22"/>
          <w:szCs w:val="22"/>
        </w:rPr>
        <w:t>139</w:t>
      </w:r>
      <w:r w:rsidR="00116E47">
        <w:rPr>
          <w:rFonts w:ascii="Verdana" w:hAnsi="Verdana"/>
          <w:sz w:val="22"/>
          <w:szCs w:val="22"/>
        </w:rPr>
        <w:t>)</w:t>
      </w:r>
      <w:r>
        <w:rPr>
          <w:rFonts w:ascii="Verdana" w:hAnsi="Verdana"/>
          <w:sz w:val="22"/>
          <w:szCs w:val="22"/>
        </w:rPr>
        <w:t xml:space="preserve"> hold associate’s degrees in early childhood</w:t>
      </w:r>
      <w:r w:rsidR="00116E47">
        <w:rPr>
          <w:rFonts w:ascii="Verdana" w:hAnsi="Verdana"/>
          <w:sz w:val="22"/>
          <w:szCs w:val="22"/>
        </w:rPr>
        <w:t xml:space="preserve"> education</w:t>
      </w:r>
      <w:r>
        <w:rPr>
          <w:rFonts w:ascii="Verdana" w:hAnsi="Verdana"/>
          <w:sz w:val="22"/>
          <w:szCs w:val="22"/>
        </w:rPr>
        <w:t xml:space="preserve">, </w:t>
      </w:r>
      <w:r w:rsidR="00116E47">
        <w:rPr>
          <w:rFonts w:ascii="Verdana" w:hAnsi="Verdana"/>
          <w:sz w:val="22"/>
          <w:szCs w:val="22"/>
        </w:rPr>
        <w:t>fifty-eight (</w:t>
      </w:r>
      <w:r>
        <w:rPr>
          <w:rFonts w:ascii="Verdana" w:hAnsi="Verdana"/>
          <w:sz w:val="22"/>
          <w:szCs w:val="22"/>
        </w:rPr>
        <w:t>58</w:t>
      </w:r>
      <w:r w:rsidR="00116E47">
        <w:rPr>
          <w:rFonts w:ascii="Verdana" w:hAnsi="Verdana"/>
          <w:sz w:val="22"/>
          <w:szCs w:val="22"/>
        </w:rPr>
        <w:t>)</w:t>
      </w:r>
      <w:r>
        <w:rPr>
          <w:rFonts w:ascii="Verdana" w:hAnsi="Verdana"/>
          <w:sz w:val="22"/>
          <w:szCs w:val="22"/>
        </w:rPr>
        <w:t xml:space="preserve"> hold bachelor’s degrees</w:t>
      </w:r>
      <w:r w:rsidR="00116E47">
        <w:rPr>
          <w:rFonts w:ascii="Verdana" w:hAnsi="Verdana"/>
          <w:sz w:val="22"/>
          <w:szCs w:val="22"/>
        </w:rPr>
        <w:t xml:space="preserve"> in early childhood education</w:t>
      </w:r>
      <w:r>
        <w:rPr>
          <w:rFonts w:ascii="Verdana" w:hAnsi="Verdana"/>
          <w:sz w:val="22"/>
          <w:szCs w:val="22"/>
        </w:rPr>
        <w:t xml:space="preserve"> and two (2) hold master’s degrees</w:t>
      </w:r>
      <w:r w:rsidR="00116E47">
        <w:rPr>
          <w:rFonts w:ascii="Verdana" w:hAnsi="Verdana"/>
          <w:sz w:val="22"/>
          <w:szCs w:val="22"/>
        </w:rPr>
        <w:t xml:space="preserve"> in education. One-hundred thirty-six (136) assistant teachers have the Child Development Associate (CDA), thirty (30) are enrolled in the CDA class and only thirty-three (33) need to meet the requirement. The four Education Area Directors and one Education Coordinator have master’s degrees in education. The other Education Coordinator has a bachelor’s degree in education.</w:t>
      </w:r>
      <w:r w:rsidR="0008436D">
        <w:rPr>
          <w:rFonts w:ascii="Verdana" w:hAnsi="Verdana"/>
          <w:sz w:val="22"/>
          <w:szCs w:val="22"/>
        </w:rPr>
        <w:t xml:space="preserve"> The Chief Financial Officer has a degree in accounting and extensive auditing experience.  A Fiscal Officer with a degree in accounting assists the Chief Financial Officer.</w:t>
      </w:r>
      <w:r w:rsidR="00116E47">
        <w:rPr>
          <w:rFonts w:ascii="Verdana" w:hAnsi="Verdana"/>
          <w:sz w:val="22"/>
          <w:szCs w:val="22"/>
        </w:rPr>
        <w:t xml:space="preserve">  </w:t>
      </w:r>
    </w:p>
    <w:p w:rsidR="00D463AB" w:rsidRDefault="003C6B02" w:rsidP="00E7292F">
      <w:pPr>
        <w:jc w:val="both"/>
        <w:rPr>
          <w:rFonts w:ascii="Verdana" w:hAnsi="Verdana"/>
          <w:sz w:val="22"/>
          <w:szCs w:val="22"/>
        </w:rPr>
      </w:pPr>
      <w:r>
        <w:rPr>
          <w:rFonts w:ascii="Verdana" w:hAnsi="Verdana"/>
          <w:sz w:val="22"/>
          <w:szCs w:val="22"/>
        </w:rPr>
        <w:t xml:space="preserve">  </w:t>
      </w:r>
    </w:p>
    <w:p w:rsidR="000D786C" w:rsidRPr="007B3102" w:rsidRDefault="000D786C" w:rsidP="00E7292F">
      <w:pPr>
        <w:jc w:val="both"/>
        <w:rPr>
          <w:rFonts w:ascii="Verdana" w:hAnsi="Verdana"/>
          <w:sz w:val="22"/>
          <w:szCs w:val="22"/>
        </w:rPr>
      </w:pPr>
    </w:p>
    <w:p w:rsidR="00F408D0" w:rsidRPr="004E7F96" w:rsidRDefault="002379B2" w:rsidP="00E7292F">
      <w:pPr>
        <w:jc w:val="both"/>
        <w:rPr>
          <w:rFonts w:ascii="Verdana" w:hAnsi="Verdana"/>
          <w:b/>
          <w:u w:val="single"/>
        </w:rPr>
      </w:pPr>
      <w:r w:rsidRPr="004E7F96">
        <w:rPr>
          <w:rFonts w:ascii="Verdana" w:hAnsi="Verdana"/>
          <w:b/>
          <w:u w:val="single"/>
        </w:rPr>
        <w:t>Cost of Living Adjustment (COLA)</w:t>
      </w:r>
    </w:p>
    <w:p w:rsidR="002379B2" w:rsidRDefault="002379B2" w:rsidP="00E7292F">
      <w:pPr>
        <w:jc w:val="both"/>
        <w:rPr>
          <w:rFonts w:ascii="Verdana" w:hAnsi="Verdana"/>
          <w:b/>
          <w:sz w:val="22"/>
          <w:szCs w:val="22"/>
        </w:rPr>
      </w:pPr>
    </w:p>
    <w:p w:rsidR="000D786C" w:rsidRPr="002379B2" w:rsidRDefault="000D786C" w:rsidP="00E7292F">
      <w:pPr>
        <w:jc w:val="both"/>
        <w:rPr>
          <w:rFonts w:ascii="Verdana" w:hAnsi="Verdana"/>
          <w:b/>
          <w:sz w:val="22"/>
          <w:szCs w:val="22"/>
        </w:rPr>
      </w:pPr>
    </w:p>
    <w:p w:rsidR="002379B2" w:rsidRDefault="002379B2" w:rsidP="002379B2">
      <w:pPr>
        <w:jc w:val="both"/>
        <w:rPr>
          <w:rFonts w:ascii="Verdana" w:hAnsi="Verdana"/>
          <w:sz w:val="22"/>
          <w:szCs w:val="22"/>
        </w:rPr>
      </w:pPr>
      <w:r>
        <w:rPr>
          <w:rFonts w:ascii="Verdana" w:hAnsi="Verdana"/>
          <w:sz w:val="22"/>
          <w:szCs w:val="22"/>
        </w:rPr>
        <w:t xml:space="preserve">This </w:t>
      </w:r>
      <w:r>
        <w:rPr>
          <w:rFonts w:ascii="Verdana" w:hAnsi="Verdana"/>
          <w:b/>
          <w:sz w:val="22"/>
          <w:szCs w:val="22"/>
        </w:rPr>
        <w:t xml:space="preserve">Cost of Living Adjustment </w:t>
      </w:r>
      <w:r w:rsidRPr="00EB2007">
        <w:rPr>
          <w:rFonts w:ascii="Verdana" w:hAnsi="Verdana"/>
          <w:sz w:val="22"/>
          <w:szCs w:val="22"/>
        </w:rPr>
        <w:t xml:space="preserve">will </w:t>
      </w:r>
      <w:r>
        <w:rPr>
          <w:rFonts w:ascii="Verdana" w:hAnsi="Verdana"/>
          <w:sz w:val="22"/>
          <w:szCs w:val="22"/>
        </w:rPr>
        <w:t xml:space="preserve">make it possible for </w:t>
      </w:r>
      <w:r w:rsidRPr="00EB2007">
        <w:rPr>
          <w:rFonts w:ascii="Verdana" w:hAnsi="Verdana"/>
          <w:sz w:val="22"/>
          <w:szCs w:val="22"/>
        </w:rPr>
        <w:t>the</w:t>
      </w:r>
      <w:r>
        <w:rPr>
          <w:rFonts w:ascii="Verdana" w:hAnsi="Verdana"/>
          <w:sz w:val="22"/>
          <w:szCs w:val="22"/>
        </w:rPr>
        <w:t xml:space="preserve"> Hidalgo County Head Start </w:t>
      </w:r>
      <w:r w:rsidRPr="00EB2007">
        <w:rPr>
          <w:rFonts w:ascii="Verdana" w:hAnsi="Verdana"/>
          <w:sz w:val="22"/>
          <w:szCs w:val="22"/>
        </w:rPr>
        <w:t>Program</w:t>
      </w:r>
      <w:r>
        <w:rPr>
          <w:rFonts w:ascii="Verdana" w:hAnsi="Verdana"/>
          <w:sz w:val="22"/>
          <w:szCs w:val="22"/>
        </w:rPr>
        <w:t xml:space="preserve"> to</w:t>
      </w:r>
      <w:r w:rsidRPr="00EB2007">
        <w:rPr>
          <w:rFonts w:ascii="Verdana" w:hAnsi="Verdana"/>
          <w:sz w:val="22"/>
          <w:szCs w:val="22"/>
        </w:rPr>
        <w:t xml:space="preserve"> retain </w:t>
      </w:r>
      <w:r>
        <w:rPr>
          <w:rFonts w:ascii="Verdana" w:hAnsi="Verdana"/>
          <w:sz w:val="22"/>
          <w:szCs w:val="22"/>
        </w:rPr>
        <w:t xml:space="preserve">appropriately certified and adequately </w:t>
      </w:r>
      <w:r w:rsidRPr="00EB2007">
        <w:rPr>
          <w:rFonts w:ascii="Verdana" w:hAnsi="Verdana"/>
          <w:sz w:val="22"/>
          <w:szCs w:val="22"/>
        </w:rPr>
        <w:t>trained personnel at all levels of the organization</w:t>
      </w:r>
      <w:r>
        <w:rPr>
          <w:rFonts w:ascii="Verdana" w:hAnsi="Verdana"/>
          <w:sz w:val="22"/>
          <w:szCs w:val="22"/>
        </w:rPr>
        <w:t xml:space="preserve">. </w:t>
      </w:r>
    </w:p>
    <w:p w:rsidR="004B3DE4" w:rsidRDefault="004B3DE4" w:rsidP="00E808FC">
      <w:pPr>
        <w:jc w:val="right"/>
        <w:rPr>
          <w:rFonts w:ascii="Verdana" w:hAnsi="Verdana"/>
          <w:sz w:val="22"/>
          <w:szCs w:val="22"/>
        </w:rPr>
      </w:pPr>
    </w:p>
    <w:p w:rsidR="002379B2" w:rsidRPr="00044831" w:rsidRDefault="00F2470F" w:rsidP="002379B2">
      <w:pPr>
        <w:jc w:val="both"/>
        <w:rPr>
          <w:rFonts w:ascii="Verdana" w:hAnsi="Verdana"/>
          <w:sz w:val="22"/>
          <w:szCs w:val="22"/>
        </w:rPr>
      </w:pPr>
      <w:r>
        <w:rPr>
          <w:rFonts w:ascii="Verdana" w:hAnsi="Verdana"/>
          <w:sz w:val="22"/>
          <w:szCs w:val="22"/>
        </w:rPr>
        <w:t xml:space="preserve">The Program </w:t>
      </w:r>
      <w:r w:rsidR="002379B2">
        <w:rPr>
          <w:rFonts w:ascii="Verdana" w:hAnsi="Verdana"/>
          <w:sz w:val="22"/>
          <w:szCs w:val="22"/>
        </w:rPr>
        <w:t>staff works with the most challenging and youngest population in the county</w:t>
      </w:r>
      <w:r>
        <w:rPr>
          <w:rFonts w:ascii="Verdana" w:hAnsi="Verdana"/>
          <w:sz w:val="22"/>
          <w:szCs w:val="22"/>
        </w:rPr>
        <w:t xml:space="preserve"> and it is critical for </w:t>
      </w:r>
      <w:r w:rsidR="002379B2" w:rsidRPr="00044831">
        <w:rPr>
          <w:rFonts w:ascii="Verdana" w:hAnsi="Verdana"/>
          <w:sz w:val="22"/>
          <w:szCs w:val="22"/>
        </w:rPr>
        <w:t>appropriately educated and</w:t>
      </w:r>
      <w:r w:rsidR="00D951F3">
        <w:rPr>
          <w:rFonts w:ascii="Verdana" w:hAnsi="Verdana"/>
          <w:sz w:val="22"/>
          <w:szCs w:val="22"/>
        </w:rPr>
        <w:t>/or</w:t>
      </w:r>
      <w:r w:rsidR="002379B2" w:rsidRPr="00044831">
        <w:rPr>
          <w:rFonts w:ascii="Verdana" w:hAnsi="Verdana"/>
          <w:sz w:val="22"/>
          <w:szCs w:val="22"/>
        </w:rPr>
        <w:t xml:space="preserve"> experienced staff </w:t>
      </w:r>
      <w:r w:rsidR="00ED45A4">
        <w:rPr>
          <w:rFonts w:ascii="Verdana" w:hAnsi="Verdana"/>
          <w:sz w:val="22"/>
          <w:szCs w:val="22"/>
        </w:rPr>
        <w:t>to be attracted,</w:t>
      </w:r>
      <w:r>
        <w:rPr>
          <w:rFonts w:ascii="Verdana" w:hAnsi="Verdana"/>
          <w:sz w:val="22"/>
          <w:szCs w:val="22"/>
        </w:rPr>
        <w:t xml:space="preserve"> employed</w:t>
      </w:r>
      <w:r w:rsidR="00ED45A4">
        <w:rPr>
          <w:rFonts w:ascii="Verdana" w:hAnsi="Verdana"/>
          <w:sz w:val="22"/>
          <w:szCs w:val="22"/>
        </w:rPr>
        <w:t xml:space="preserve"> and retained</w:t>
      </w:r>
      <w:r>
        <w:rPr>
          <w:rFonts w:ascii="Verdana" w:hAnsi="Verdana"/>
          <w:sz w:val="22"/>
          <w:szCs w:val="22"/>
        </w:rPr>
        <w:t xml:space="preserve">. </w:t>
      </w:r>
      <w:r w:rsidR="00ED45A4">
        <w:rPr>
          <w:rFonts w:ascii="Verdana" w:hAnsi="Verdana"/>
          <w:sz w:val="22"/>
          <w:szCs w:val="22"/>
        </w:rPr>
        <w:t>The strategies</w:t>
      </w:r>
      <w:r w:rsidR="002379B2">
        <w:rPr>
          <w:rFonts w:ascii="Verdana" w:hAnsi="Verdana"/>
          <w:sz w:val="22"/>
          <w:szCs w:val="22"/>
        </w:rPr>
        <w:t xml:space="preserve"> required to support successful recruitment efforts and to retain appropriately credentialed and degreed professional staff must reflect direct and permanent financial support.</w:t>
      </w:r>
      <w:r w:rsidR="002379B2" w:rsidRPr="00044831">
        <w:rPr>
          <w:rFonts w:ascii="Verdana" w:hAnsi="Verdana"/>
          <w:sz w:val="22"/>
          <w:szCs w:val="22"/>
        </w:rPr>
        <w:t xml:space="preserve">  These</w:t>
      </w:r>
      <w:r w:rsidR="00ED45A4">
        <w:rPr>
          <w:rFonts w:ascii="Verdana" w:hAnsi="Verdana"/>
          <w:sz w:val="22"/>
          <w:szCs w:val="22"/>
        </w:rPr>
        <w:t xml:space="preserve"> strategies must also respond to </w:t>
      </w:r>
      <w:r w:rsidR="002379B2" w:rsidRPr="00044831">
        <w:rPr>
          <w:rFonts w:ascii="Verdana" w:hAnsi="Verdana"/>
          <w:sz w:val="22"/>
          <w:szCs w:val="22"/>
        </w:rPr>
        <w:t>an environment of increasing competition for degreed and credentialed staff</w:t>
      </w:r>
      <w:r w:rsidR="002379B2">
        <w:rPr>
          <w:rFonts w:ascii="Verdana" w:hAnsi="Verdana"/>
          <w:sz w:val="22"/>
          <w:szCs w:val="22"/>
        </w:rPr>
        <w:t xml:space="preserve">, </w:t>
      </w:r>
      <w:r w:rsidR="002379B2" w:rsidRPr="00044831">
        <w:rPr>
          <w:rFonts w:ascii="Verdana" w:hAnsi="Verdana"/>
          <w:sz w:val="22"/>
          <w:szCs w:val="22"/>
        </w:rPr>
        <w:t>particularly from the</w:t>
      </w:r>
      <w:r w:rsidR="002379B2">
        <w:rPr>
          <w:rFonts w:ascii="Verdana" w:hAnsi="Verdana"/>
          <w:sz w:val="22"/>
          <w:szCs w:val="22"/>
        </w:rPr>
        <w:t xml:space="preserve"> School Districts</w:t>
      </w:r>
      <w:r w:rsidR="002379B2" w:rsidRPr="00044831">
        <w:rPr>
          <w:rFonts w:ascii="Verdana" w:hAnsi="Verdana"/>
          <w:sz w:val="22"/>
          <w:szCs w:val="22"/>
        </w:rPr>
        <w:t xml:space="preserve"> </w:t>
      </w:r>
      <w:r w:rsidR="002379B2">
        <w:rPr>
          <w:rFonts w:ascii="Verdana" w:hAnsi="Verdana"/>
          <w:sz w:val="22"/>
          <w:szCs w:val="22"/>
        </w:rPr>
        <w:t>(</w:t>
      </w:r>
      <w:r w:rsidR="002379B2" w:rsidRPr="00044831">
        <w:rPr>
          <w:rFonts w:ascii="Verdana" w:hAnsi="Verdana"/>
          <w:sz w:val="22"/>
          <w:szCs w:val="22"/>
        </w:rPr>
        <w:t>ISDs</w:t>
      </w:r>
      <w:r w:rsidR="002379B2">
        <w:rPr>
          <w:rFonts w:ascii="Verdana" w:hAnsi="Verdana"/>
          <w:sz w:val="22"/>
          <w:szCs w:val="22"/>
        </w:rPr>
        <w:t>),</w:t>
      </w:r>
      <w:r w:rsidR="002379B2" w:rsidRPr="00044831">
        <w:rPr>
          <w:rFonts w:ascii="Verdana" w:hAnsi="Verdana"/>
          <w:sz w:val="22"/>
          <w:szCs w:val="22"/>
        </w:rPr>
        <w:t xml:space="preserve"> who are charged with meeting the educational needs of the County’s fast-growing school-aged </w:t>
      </w:r>
      <w:r w:rsidR="002379B2">
        <w:rPr>
          <w:rFonts w:ascii="Verdana" w:hAnsi="Verdana"/>
          <w:sz w:val="22"/>
          <w:szCs w:val="22"/>
        </w:rPr>
        <w:t>population</w:t>
      </w:r>
      <w:r w:rsidR="002379B2" w:rsidRPr="00044831">
        <w:rPr>
          <w:rFonts w:ascii="Verdana" w:hAnsi="Verdana"/>
          <w:sz w:val="22"/>
          <w:szCs w:val="22"/>
        </w:rPr>
        <w:t xml:space="preserve">.  </w:t>
      </w:r>
    </w:p>
    <w:p w:rsidR="009E230A" w:rsidRDefault="009E230A" w:rsidP="005D42DB">
      <w:pPr>
        <w:jc w:val="both"/>
        <w:rPr>
          <w:rFonts w:ascii="Verdana" w:hAnsi="Verdana" w:cs="Verdana"/>
          <w:bCs/>
          <w:sz w:val="22"/>
          <w:szCs w:val="22"/>
        </w:rPr>
      </w:pPr>
    </w:p>
    <w:p w:rsidR="00A10297" w:rsidRDefault="002379B2" w:rsidP="005D42DB">
      <w:pPr>
        <w:jc w:val="both"/>
        <w:rPr>
          <w:rFonts w:ascii="Verdana" w:hAnsi="Verdana" w:cs="Verdana"/>
          <w:bCs/>
          <w:sz w:val="22"/>
          <w:szCs w:val="22"/>
        </w:rPr>
      </w:pPr>
      <w:r>
        <w:rPr>
          <w:rFonts w:ascii="Verdana" w:hAnsi="Verdana" w:cs="Verdana"/>
          <w:bCs/>
          <w:sz w:val="22"/>
          <w:szCs w:val="22"/>
        </w:rPr>
        <w:t xml:space="preserve">The funding for </w:t>
      </w:r>
      <w:r w:rsidRPr="00ED45A4">
        <w:rPr>
          <w:rFonts w:ascii="Verdana" w:hAnsi="Verdana" w:cs="Verdana"/>
          <w:b/>
          <w:bCs/>
          <w:sz w:val="22"/>
          <w:szCs w:val="22"/>
        </w:rPr>
        <w:t>COLA</w:t>
      </w:r>
      <w:r w:rsidRPr="00943CE5">
        <w:rPr>
          <w:rFonts w:ascii="Verdana" w:hAnsi="Verdana" w:cs="Verdana"/>
          <w:bCs/>
          <w:sz w:val="22"/>
          <w:szCs w:val="22"/>
        </w:rPr>
        <w:t xml:space="preserve"> </w:t>
      </w:r>
      <w:r>
        <w:rPr>
          <w:rFonts w:ascii="Verdana" w:hAnsi="Verdana" w:cs="Verdana"/>
          <w:bCs/>
          <w:sz w:val="22"/>
          <w:szCs w:val="22"/>
        </w:rPr>
        <w:t xml:space="preserve">will continue to </w:t>
      </w:r>
      <w:r w:rsidR="00ED45A4">
        <w:rPr>
          <w:rFonts w:ascii="Verdana" w:hAnsi="Verdana" w:cs="Verdana"/>
          <w:bCs/>
          <w:sz w:val="22"/>
          <w:szCs w:val="22"/>
        </w:rPr>
        <w:t xml:space="preserve">be used to </w:t>
      </w:r>
      <w:r>
        <w:rPr>
          <w:rFonts w:ascii="Verdana" w:hAnsi="Verdana" w:cs="Verdana"/>
          <w:bCs/>
          <w:sz w:val="22"/>
          <w:szCs w:val="22"/>
        </w:rPr>
        <w:t xml:space="preserve">increase staff </w:t>
      </w:r>
      <w:r w:rsidRPr="00943CE5">
        <w:rPr>
          <w:rFonts w:ascii="Verdana" w:hAnsi="Verdana" w:cs="Verdana"/>
          <w:bCs/>
          <w:sz w:val="22"/>
          <w:szCs w:val="22"/>
        </w:rPr>
        <w:t>salaries and fringe benefits</w:t>
      </w:r>
      <w:r w:rsidR="00ED45A4">
        <w:rPr>
          <w:rFonts w:ascii="Verdana" w:hAnsi="Verdana" w:cs="Verdana"/>
          <w:bCs/>
          <w:sz w:val="22"/>
          <w:szCs w:val="22"/>
        </w:rPr>
        <w:t xml:space="preserve"> and to provide e</w:t>
      </w:r>
      <w:r w:rsidR="0008436D">
        <w:rPr>
          <w:rFonts w:ascii="Verdana" w:hAnsi="Verdana" w:cs="Verdana"/>
          <w:bCs/>
          <w:sz w:val="22"/>
          <w:szCs w:val="22"/>
        </w:rPr>
        <w:t xml:space="preserve">quity and parity within </w:t>
      </w:r>
      <w:r w:rsidR="00ED45A4">
        <w:rPr>
          <w:rFonts w:ascii="Verdana" w:hAnsi="Verdana" w:cs="Verdana"/>
          <w:bCs/>
          <w:sz w:val="22"/>
          <w:szCs w:val="22"/>
        </w:rPr>
        <w:t>th</w:t>
      </w:r>
      <w:r w:rsidR="0008436D">
        <w:rPr>
          <w:rFonts w:ascii="Verdana" w:hAnsi="Verdana" w:cs="Verdana"/>
          <w:bCs/>
          <w:sz w:val="22"/>
          <w:szCs w:val="22"/>
        </w:rPr>
        <w:t>e organizational structure</w:t>
      </w:r>
      <w:r w:rsidRPr="00943CE5">
        <w:rPr>
          <w:rFonts w:ascii="Verdana" w:hAnsi="Verdana" w:cs="Verdana"/>
          <w:bCs/>
          <w:sz w:val="22"/>
          <w:szCs w:val="22"/>
        </w:rPr>
        <w:t>.</w:t>
      </w:r>
      <w:r w:rsidR="005671DE">
        <w:rPr>
          <w:rFonts w:ascii="Verdana" w:hAnsi="Verdana" w:cs="Verdana"/>
          <w:bCs/>
          <w:sz w:val="22"/>
          <w:szCs w:val="22"/>
        </w:rPr>
        <w:t xml:space="preserve">  It will directly contribute toward maximizing federal funds by streamlining positions and responsibilities to meet all Program requirements. </w:t>
      </w:r>
      <w:r w:rsidRPr="00FC168C">
        <w:rPr>
          <w:rFonts w:ascii="Verdana" w:hAnsi="Verdana" w:cs="Verdana"/>
          <w:bCs/>
          <w:sz w:val="22"/>
          <w:szCs w:val="22"/>
        </w:rPr>
        <w:t xml:space="preserve">The COLA supplemental funding </w:t>
      </w:r>
      <w:r w:rsidR="00ED45A4">
        <w:rPr>
          <w:rFonts w:ascii="Verdana" w:hAnsi="Verdana" w:cs="Verdana"/>
          <w:bCs/>
          <w:sz w:val="22"/>
          <w:szCs w:val="22"/>
        </w:rPr>
        <w:t>will allow</w:t>
      </w:r>
      <w:r w:rsidR="00A10297">
        <w:rPr>
          <w:rFonts w:ascii="Verdana" w:hAnsi="Verdana" w:cs="Verdana"/>
          <w:bCs/>
          <w:sz w:val="22"/>
          <w:szCs w:val="22"/>
        </w:rPr>
        <w:t xml:space="preserve"> us to increase the </w:t>
      </w:r>
      <w:r w:rsidRPr="00FC168C">
        <w:rPr>
          <w:rFonts w:ascii="Verdana" w:hAnsi="Verdana" w:cs="Verdana"/>
          <w:bCs/>
          <w:sz w:val="22"/>
          <w:szCs w:val="22"/>
        </w:rPr>
        <w:t>Head Start pay scale and the corresponding fringe benefits for all positions across the Program</w:t>
      </w:r>
      <w:r>
        <w:rPr>
          <w:rFonts w:ascii="Verdana" w:hAnsi="Verdana" w:cs="Verdana"/>
          <w:bCs/>
          <w:sz w:val="22"/>
          <w:szCs w:val="22"/>
        </w:rPr>
        <w:t xml:space="preserve"> by</w:t>
      </w:r>
      <w:r w:rsidRPr="00FC168C">
        <w:rPr>
          <w:rFonts w:ascii="Verdana" w:hAnsi="Verdana" w:cs="Verdana"/>
          <w:bCs/>
          <w:sz w:val="22"/>
          <w:szCs w:val="22"/>
        </w:rPr>
        <w:t xml:space="preserve"> </w:t>
      </w:r>
      <w:r w:rsidRPr="00ED45A4">
        <w:rPr>
          <w:rFonts w:ascii="Verdana" w:hAnsi="Verdana" w:cs="Verdana"/>
          <w:b/>
          <w:bCs/>
          <w:sz w:val="22"/>
          <w:szCs w:val="22"/>
        </w:rPr>
        <w:t>1.0%.</w:t>
      </w:r>
      <w:r w:rsidR="00D951F3">
        <w:rPr>
          <w:rFonts w:ascii="Verdana" w:hAnsi="Verdana" w:cs="Verdana"/>
          <w:bCs/>
          <w:sz w:val="22"/>
          <w:szCs w:val="22"/>
        </w:rPr>
        <w:t xml:space="preserve">  The </w:t>
      </w:r>
      <w:r w:rsidR="00A10297">
        <w:rPr>
          <w:rFonts w:ascii="Verdana" w:hAnsi="Verdana" w:cs="Verdana"/>
          <w:bCs/>
          <w:sz w:val="22"/>
          <w:szCs w:val="22"/>
        </w:rPr>
        <w:t xml:space="preserve">total required </w:t>
      </w:r>
      <w:r w:rsidR="0008436D">
        <w:rPr>
          <w:rFonts w:ascii="Verdana" w:hAnsi="Verdana" w:cs="Verdana"/>
          <w:bCs/>
          <w:sz w:val="22"/>
          <w:szCs w:val="22"/>
        </w:rPr>
        <w:t>for providing</w:t>
      </w:r>
      <w:r w:rsidR="00A10297">
        <w:rPr>
          <w:rFonts w:ascii="Verdana" w:hAnsi="Verdana" w:cs="Verdana"/>
          <w:bCs/>
          <w:sz w:val="22"/>
          <w:szCs w:val="22"/>
        </w:rPr>
        <w:t xml:space="preserve"> a 1.0%</w:t>
      </w:r>
      <w:r w:rsidR="00D951F3">
        <w:rPr>
          <w:rFonts w:ascii="Verdana" w:hAnsi="Verdana" w:cs="Verdana"/>
          <w:bCs/>
          <w:sz w:val="22"/>
          <w:szCs w:val="22"/>
        </w:rPr>
        <w:t xml:space="preserve"> increase in the hourly rate of pay for each Head Start emp</w:t>
      </w:r>
      <w:r w:rsidR="00A10297">
        <w:rPr>
          <w:rFonts w:ascii="Verdana" w:hAnsi="Verdana" w:cs="Verdana"/>
          <w:bCs/>
          <w:sz w:val="22"/>
          <w:szCs w:val="22"/>
        </w:rPr>
        <w:t>l</w:t>
      </w:r>
      <w:r w:rsidR="00D951F3">
        <w:rPr>
          <w:rFonts w:ascii="Verdana" w:hAnsi="Verdana" w:cs="Verdana"/>
          <w:bCs/>
          <w:sz w:val="22"/>
          <w:szCs w:val="22"/>
        </w:rPr>
        <w:t>oy</w:t>
      </w:r>
      <w:r w:rsidR="00A10297">
        <w:rPr>
          <w:rFonts w:ascii="Verdana" w:hAnsi="Verdana" w:cs="Verdana"/>
          <w:bCs/>
          <w:sz w:val="22"/>
          <w:szCs w:val="22"/>
        </w:rPr>
        <w:t>ee subject to the provisions of Sections 653 and 640(j) of the Head Start Act is</w:t>
      </w:r>
      <w:r w:rsidR="00F17243">
        <w:rPr>
          <w:rFonts w:ascii="Verdana" w:hAnsi="Verdana" w:cs="Verdana"/>
          <w:bCs/>
          <w:sz w:val="22"/>
          <w:szCs w:val="22"/>
        </w:rPr>
        <w:t xml:space="preserve"> </w:t>
      </w:r>
      <w:r w:rsidR="00F17243" w:rsidRPr="0008436D">
        <w:rPr>
          <w:rFonts w:ascii="Verdana" w:hAnsi="Verdana" w:cs="Verdana"/>
          <w:b/>
          <w:bCs/>
          <w:sz w:val="22"/>
          <w:szCs w:val="22"/>
        </w:rPr>
        <w:t>$180,036</w:t>
      </w:r>
      <w:r w:rsidR="0008436D">
        <w:rPr>
          <w:rFonts w:ascii="Verdana" w:hAnsi="Verdana" w:cs="Verdana"/>
          <w:b/>
          <w:bCs/>
          <w:sz w:val="22"/>
          <w:szCs w:val="22"/>
        </w:rPr>
        <w:t>.00</w:t>
      </w:r>
      <w:r w:rsidR="00A10297">
        <w:rPr>
          <w:rFonts w:ascii="Verdana" w:hAnsi="Verdana" w:cs="Verdana"/>
          <w:bCs/>
          <w:sz w:val="22"/>
          <w:szCs w:val="22"/>
        </w:rPr>
        <w:t xml:space="preserve">.  </w:t>
      </w:r>
    </w:p>
    <w:p w:rsidR="00A10297" w:rsidRDefault="00A10297" w:rsidP="005D42DB">
      <w:pPr>
        <w:jc w:val="both"/>
        <w:rPr>
          <w:rFonts w:ascii="Verdana" w:hAnsi="Verdana" w:cs="Verdana"/>
          <w:bCs/>
          <w:sz w:val="22"/>
          <w:szCs w:val="22"/>
        </w:rPr>
      </w:pPr>
    </w:p>
    <w:p w:rsidR="000D786C" w:rsidRDefault="000D786C" w:rsidP="005D42DB">
      <w:pPr>
        <w:jc w:val="both"/>
        <w:rPr>
          <w:rFonts w:ascii="Verdana" w:hAnsi="Verdana" w:cs="Verdana"/>
          <w:bCs/>
          <w:sz w:val="22"/>
          <w:szCs w:val="22"/>
        </w:rPr>
      </w:pPr>
    </w:p>
    <w:p w:rsidR="000D786C" w:rsidRDefault="000D786C" w:rsidP="005D42DB">
      <w:pPr>
        <w:jc w:val="both"/>
        <w:rPr>
          <w:rFonts w:ascii="Verdana" w:hAnsi="Verdana" w:cs="Verdana"/>
          <w:bCs/>
          <w:sz w:val="22"/>
          <w:szCs w:val="22"/>
        </w:rPr>
      </w:pPr>
    </w:p>
    <w:p w:rsidR="000D0851" w:rsidRDefault="00ED45A4" w:rsidP="005D42DB">
      <w:pPr>
        <w:jc w:val="both"/>
        <w:rPr>
          <w:rFonts w:ascii="Verdana" w:hAnsi="Verdana" w:cs="Verdana"/>
          <w:bCs/>
          <w:sz w:val="22"/>
          <w:szCs w:val="22"/>
        </w:rPr>
      </w:pPr>
      <w:r>
        <w:rPr>
          <w:rFonts w:ascii="Verdana" w:hAnsi="Verdana" w:cs="Verdana"/>
          <w:bCs/>
          <w:sz w:val="22"/>
          <w:szCs w:val="22"/>
        </w:rPr>
        <w:t>In summary, the COLA funds will</w:t>
      </w:r>
      <w:r w:rsidR="000D0851">
        <w:rPr>
          <w:rFonts w:ascii="Verdana" w:hAnsi="Verdana" w:cs="Verdana"/>
          <w:bCs/>
          <w:sz w:val="22"/>
          <w:szCs w:val="22"/>
        </w:rPr>
        <w:t>:</w:t>
      </w:r>
    </w:p>
    <w:p w:rsidR="009E230A" w:rsidRDefault="002379B2" w:rsidP="005D42DB">
      <w:pPr>
        <w:jc w:val="both"/>
        <w:rPr>
          <w:rFonts w:ascii="Verdana" w:hAnsi="Verdana" w:cs="Verdana"/>
          <w:bCs/>
          <w:sz w:val="22"/>
          <w:szCs w:val="22"/>
        </w:rPr>
      </w:pPr>
      <w:r w:rsidRPr="00FC168C">
        <w:rPr>
          <w:rFonts w:ascii="Verdana" w:hAnsi="Verdana" w:cs="Verdana"/>
          <w:bCs/>
          <w:sz w:val="22"/>
          <w:szCs w:val="22"/>
        </w:rPr>
        <w:t xml:space="preserve"> </w:t>
      </w:r>
      <w:r>
        <w:rPr>
          <w:rFonts w:ascii="Verdana" w:hAnsi="Verdana" w:cs="Verdana"/>
          <w:bCs/>
          <w:sz w:val="22"/>
          <w:szCs w:val="22"/>
        </w:rPr>
        <w:t xml:space="preserve"> </w:t>
      </w:r>
    </w:p>
    <w:p w:rsidR="00F2470F" w:rsidRDefault="00ED45A4" w:rsidP="00F2470F">
      <w:pPr>
        <w:pStyle w:val="ListParagraph"/>
        <w:numPr>
          <w:ilvl w:val="0"/>
          <w:numId w:val="15"/>
        </w:numPr>
        <w:jc w:val="both"/>
        <w:rPr>
          <w:rFonts w:ascii="Verdana" w:hAnsi="Verdana"/>
        </w:rPr>
      </w:pPr>
      <w:r>
        <w:rPr>
          <w:rFonts w:ascii="Verdana" w:hAnsi="Verdana"/>
        </w:rPr>
        <w:t>C</w:t>
      </w:r>
      <w:r w:rsidR="00F2470F">
        <w:rPr>
          <w:rFonts w:ascii="Verdana" w:hAnsi="Verdana"/>
        </w:rPr>
        <w:t>ontribute to providing</w:t>
      </w:r>
      <w:r w:rsidR="00F2470F" w:rsidRPr="002379B2">
        <w:rPr>
          <w:rFonts w:ascii="Verdana" w:hAnsi="Verdana"/>
        </w:rPr>
        <w:t xml:space="preserve"> the best quality services to the families of Hidalgo County. </w:t>
      </w:r>
    </w:p>
    <w:p w:rsidR="00F2470F" w:rsidRDefault="00F2470F" w:rsidP="00F2470F">
      <w:pPr>
        <w:pStyle w:val="ListParagraph"/>
        <w:numPr>
          <w:ilvl w:val="0"/>
          <w:numId w:val="15"/>
        </w:numPr>
        <w:jc w:val="both"/>
        <w:rPr>
          <w:rFonts w:ascii="Verdana" w:hAnsi="Verdana"/>
        </w:rPr>
      </w:pPr>
      <w:r>
        <w:rPr>
          <w:rFonts w:ascii="Verdana" w:hAnsi="Verdana"/>
        </w:rPr>
        <w:t>Increase the retention of qualified staff, especially at the classroom level.</w:t>
      </w:r>
    </w:p>
    <w:p w:rsidR="00F2470F" w:rsidRDefault="00ED45A4" w:rsidP="00F2470F">
      <w:pPr>
        <w:pStyle w:val="ListParagraph"/>
        <w:numPr>
          <w:ilvl w:val="0"/>
          <w:numId w:val="15"/>
        </w:numPr>
        <w:jc w:val="both"/>
        <w:rPr>
          <w:rFonts w:ascii="Verdana" w:hAnsi="Verdana"/>
        </w:rPr>
      </w:pPr>
      <w:r>
        <w:rPr>
          <w:rFonts w:ascii="Verdana" w:hAnsi="Verdana"/>
        </w:rPr>
        <w:t>A</w:t>
      </w:r>
      <w:r w:rsidR="00F2470F">
        <w:rPr>
          <w:rFonts w:ascii="Verdana" w:hAnsi="Verdana"/>
        </w:rPr>
        <w:t>ssist in the r</w:t>
      </w:r>
      <w:r w:rsidR="00D30EAF">
        <w:rPr>
          <w:rFonts w:ascii="Verdana" w:hAnsi="Verdana"/>
        </w:rPr>
        <w:t>ecruitment of staff</w:t>
      </w:r>
      <w:r w:rsidR="000D0851">
        <w:rPr>
          <w:rFonts w:ascii="Verdana" w:hAnsi="Verdana"/>
        </w:rPr>
        <w:t xml:space="preserve"> at all levels</w:t>
      </w:r>
      <w:r w:rsidR="00F2470F">
        <w:rPr>
          <w:rFonts w:ascii="Verdana" w:hAnsi="Verdana"/>
        </w:rPr>
        <w:t>.</w:t>
      </w:r>
    </w:p>
    <w:p w:rsidR="00F2470F" w:rsidRDefault="00ED45A4" w:rsidP="00F2470F">
      <w:pPr>
        <w:pStyle w:val="ListParagraph"/>
        <w:numPr>
          <w:ilvl w:val="0"/>
          <w:numId w:val="15"/>
        </w:numPr>
        <w:jc w:val="both"/>
        <w:rPr>
          <w:rFonts w:ascii="Verdana" w:hAnsi="Verdana"/>
        </w:rPr>
      </w:pPr>
      <w:r>
        <w:rPr>
          <w:rFonts w:ascii="Verdana" w:hAnsi="Verdana"/>
        </w:rPr>
        <w:t>Reduce the gap between the Program’s teacher salaries and the School Districts’ teacher salaries</w:t>
      </w:r>
      <w:r w:rsidR="000D0851">
        <w:rPr>
          <w:rFonts w:ascii="Verdana" w:hAnsi="Verdana"/>
        </w:rPr>
        <w:t>, the Program’s main competitor.</w:t>
      </w:r>
    </w:p>
    <w:p w:rsidR="00ED45A4" w:rsidRDefault="00ED45A4" w:rsidP="00F2470F">
      <w:pPr>
        <w:pStyle w:val="ListParagraph"/>
        <w:numPr>
          <w:ilvl w:val="0"/>
          <w:numId w:val="15"/>
        </w:numPr>
        <w:jc w:val="both"/>
        <w:rPr>
          <w:rFonts w:ascii="Verdana" w:hAnsi="Verdana"/>
        </w:rPr>
      </w:pPr>
      <w:r>
        <w:rPr>
          <w:rFonts w:ascii="Verdana" w:hAnsi="Verdana"/>
        </w:rPr>
        <w:t xml:space="preserve">Reflect </w:t>
      </w:r>
      <w:r w:rsidR="0008436D">
        <w:rPr>
          <w:rFonts w:ascii="Verdana" w:hAnsi="Verdana"/>
        </w:rPr>
        <w:t>a supportive and caring environment</w:t>
      </w:r>
      <w:r>
        <w:rPr>
          <w:rFonts w:ascii="Verdana" w:hAnsi="Verdana"/>
        </w:rPr>
        <w:t xml:space="preserve"> for service providers</w:t>
      </w:r>
      <w:r w:rsidR="000D0851">
        <w:rPr>
          <w:rFonts w:ascii="Verdana" w:hAnsi="Verdana"/>
        </w:rPr>
        <w:t>.</w:t>
      </w:r>
    </w:p>
    <w:p w:rsidR="00F3286C" w:rsidRDefault="00F3286C" w:rsidP="00F3286C">
      <w:pPr>
        <w:pStyle w:val="ListParagraph"/>
        <w:numPr>
          <w:ilvl w:val="0"/>
          <w:numId w:val="15"/>
        </w:numPr>
        <w:jc w:val="both"/>
        <w:rPr>
          <w:rFonts w:ascii="Verdana" w:hAnsi="Verdana"/>
        </w:rPr>
      </w:pPr>
      <w:r>
        <w:rPr>
          <w:rFonts w:ascii="Verdana" w:hAnsi="Verdana"/>
        </w:rPr>
        <w:t>Make it possible for the organization as a whole to bring equity and parity across departments.</w:t>
      </w:r>
    </w:p>
    <w:p w:rsidR="00825716" w:rsidRPr="00FE7C6F" w:rsidRDefault="00825716" w:rsidP="00FE7C6F">
      <w:pPr>
        <w:ind w:left="360"/>
        <w:jc w:val="both"/>
        <w:rPr>
          <w:rFonts w:ascii="Verdana" w:hAnsi="Verdana"/>
        </w:rPr>
      </w:pPr>
    </w:p>
    <w:p w:rsidR="006C19CA" w:rsidRPr="00AE5C9C" w:rsidRDefault="00D30EAF" w:rsidP="005D42DB">
      <w:pPr>
        <w:jc w:val="both"/>
        <w:rPr>
          <w:rFonts w:ascii="Verdana" w:hAnsi="Verdana"/>
          <w:sz w:val="22"/>
          <w:szCs w:val="22"/>
        </w:rPr>
      </w:pPr>
      <w:r w:rsidRPr="00AE5C9C">
        <w:rPr>
          <w:rFonts w:ascii="Verdana" w:hAnsi="Verdana"/>
          <w:sz w:val="22"/>
          <w:szCs w:val="22"/>
        </w:rPr>
        <w:t>It will also definitely improve employee fringe benefits including health insurance, life insurance, Medicare benefits, pension benefits, workers’ compensation and unemployment benefits</w:t>
      </w:r>
      <w:r w:rsidR="000D0851" w:rsidRPr="00AE5C9C">
        <w:rPr>
          <w:rFonts w:ascii="Verdana" w:hAnsi="Verdana"/>
          <w:sz w:val="22"/>
          <w:szCs w:val="22"/>
        </w:rPr>
        <w:t>.</w:t>
      </w:r>
    </w:p>
    <w:p w:rsidR="006C19CA" w:rsidRDefault="006C19CA" w:rsidP="005D42DB">
      <w:pPr>
        <w:jc w:val="both"/>
        <w:rPr>
          <w:rFonts w:ascii="Verdana" w:hAnsi="Verdana" w:cs="Verdana"/>
          <w:bCs/>
          <w:sz w:val="22"/>
          <w:szCs w:val="22"/>
        </w:rPr>
      </w:pPr>
    </w:p>
    <w:p w:rsidR="006E2F44" w:rsidRDefault="006E2F44" w:rsidP="005D42DB">
      <w:pPr>
        <w:jc w:val="both"/>
        <w:rPr>
          <w:rFonts w:ascii="Verdana" w:hAnsi="Verdana" w:cs="Verdana"/>
          <w:bCs/>
          <w:sz w:val="22"/>
          <w:szCs w:val="22"/>
        </w:rPr>
      </w:pPr>
    </w:p>
    <w:p w:rsidR="006E2F44" w:rsidRDefault="006E2F44" w:rsidP="005D42DB">
      <w:pPr>
        <w:jc w:val="both"/>
        <w:rPr>
          <w:rFonts w:ascii="Verdana" w:hAnsi="Verdana" w:cs="Verdana"/>
          <w:bCs/>
          <w:sz w:val="22"/>
          <w:szCs w:val="22"/>
        </w:rPr>
      </w:pPr>
    </w:p>
    <w:p w:rsidR="00615322" w:rsidRPr="00AE5C9C" w:rsidRDefault="00615322" w:rsidP="00615322">
      <w:pPr>
        <w:pBdr>
          <w:top w:val="single" w:sz="4" w:space="1" w:color="auto" w:shadow="1"/>
          <w:left w:val="single" w:sz="4" w:space="4" w:color="auto" w:shadow="1"/>
          <w:bottom w:val="single" w:sz="4" w:space="1" w:color="auto" w:shadow="1"/>
          <w:right w:val="single" w:sz="4" w:space="4" w:color="auto" w:shadow="1"/>
        </w:pBdr>
        <w:jc w:val="center"/>
        <w:rPr>
          <w:rFonts w:ascii="Verdana" w:hAnsi="Verdana"/>
          <w:b/>
        </w:rPr>
      </w:pPr>
      <w:r w:rsidRPr="00AE5C9C">
        <w:rPr>
          <w:rFonts w:ascii="Verdana" w:hAnsi="Verdana"/>
          <w:b/>
        </w:rPr>
        <w:t xml:space="preserve">Budget </w:t>
      </w:r>
      <w:r w:rsidR="008E1A29" w:rsidRPr="00AE5C9C">
        <w:rPr>
          <w:rFonts w:ascii="Verdana" w:hAnsi="Verdana"/>
          <w:b/>
        </w:rPr>
        <w:t>Narrative</w:t>
      </w:r>
      <w:r w:rsidR="00FC0B76" w:rsidRPr="00AE5C9C">
        <w:rPr>
          <w:rFonts w:ascii="Verdana" w:hAnsi="Verdana"/>
          <w:b/>
        </w:rPr>
        <w:t xml:space="preserve"> -</w:t>
      </w:r>
      <w:r w:rsidRPr="00AE5C9C">
        <w:rPr>
          <w:rFonts w:ascii="Verdana" w:hAnsi="Verdana"/>
          <w:b/>
        </w:rPr>
        <w:t xml:space="preserve"> Federal Share</w:t>
      </w:r>
    </w:p>
    <w:p w:rsidR="00615322" w:rsidRDefault="00615322" w:rsidP="00615322">
      <w:pPr>
        <w:jc w:val="both"/>
        <w:rPr>
          <w:rFonts w:ascii="Verdana" w:hAnsi="Verdana"/>
        </w:rPr>
      </w:pPr>
    </w:p>
    <w:p w:rsidR="006E2F44" w:rsidRPr="00AE5C9C" w:rsidRDefault="006E2F44" w:rsidP="00615322">
      <w:pPr>
        <w:jc w:val="both"/>
        <w:rPr>
          <w:rFonts w:ascii="Verdana" w:hAnsi="Verdana"/>
        </w:rPr>
      </w:pPr>
    </w:p>
    <w:p w:rsidR="00F04CE0" w:rsidRPr="00AE5C9C" w:rsidRDefault="00615322" w:rsidP="00615322">
      <w:pPr>
        <w:jc w:val="both"/>
        <w:rPr>
          <w:rFonts w:ascii="Verdana" w:hAnsi="Verdana"/>
          <w:sz w:val="22"/>
          <w:szCs w:val="22"/>
        </w:rPr>
      </w:pPr>
      <w:r w:rsidRPr="00AE5C9C">
        <w:rPr>
          <w:rFonts w:ascii="Verdana" w:hAnsi="Verdana"/>
          <w:sz w:val="22"/>
          <w:szCs w:val="22"/>
        </w:rPr>
        <w:t>The Hidalgo County Hea</w:t>
      </w:r>
      <w:r w:rsidR="000D0851" w:rsidRPr="00AE5C9C">
        <w:rPr>
          <w:rFonts w:ascii="Verdana" w:hAnsi="Verdana"/>
          <w:sz w:val="22"/>
          <w:szCs w:val="22"/>
        </w:rPr>
        <w:t>d Start Program is submitting a supplemental</w:t>
      </w:r>
      <w:r w:rsidRPr="00AE5C9C">
        <w:rPr>
          <w:rFonts w:ascii="Verdana" w:hAnsi="Verdana"/>
          <w:sz w:val="22"/>
          <w:szCs w:val="22"/>
        </w:rPr>
        <w:t xml:space="preserve"> application</w:t>
      </w:r>
      <w:r w:rsidR="000D0851" w:rsidRPr="00AE5C9C">
        <w:rPr>
          <w:rFonts w:ascii="Verdana" w:hAnsi="Verdana"/>
          <w:sz w:val="22"/>
          <w:szCs w:val="22"/>
        </w:rPr>
        <w:t xml:space="preserve"> for E</w:t>
      </w:r>
      <w:r w:rsidRPr="00AE5C9C">
        <w:rPr>
          <w:rFonts w:ascii="Verdana" w:hAnsi="Verdana"/>
          <w:sz w:val="22"/>
          <w:szCs w:val="22"/>
        </w:rPr>
        <w:t xml:space="preserve">xpansion </w:t>
      </w:r>
      <w:r w:rsidR="00825716" w:rsidRPr="00AE5C9C">
        <w:rPr>
          <w:rFonts w:ascii="Verdana" w:hAnsi="Verdana"/>
          <w:sz w:val="22"/>
          <w:szCs w:val="22"/>
        </w:rPr>
        <w:t>Funds</w:t>
      </w:r>
      <w:r w:rsidR="000D0851" w:rsidRPr="00AE5C9C">
        <w:rPr>
          <w:rFonts w:ascii="Verdana" w:hAnsi="Verdana"/>
          <w:sz w:val="22"/>
          <w:szCs w:val="22"/>
        </w:rPr>
        <w:t>, a Cost of Living Adjustment (COLA)</w:t>
      </w:r>
      <w:r w:rsidR="00825716" w:rsidRPr="00AE5C9C">
        <w:rPr>
          <w:rFonts w:ascii="Verdana" w:hAnsi="Verdana"/>
          <w:sz w:val="22"/>
          <w:szCs w:val="22"/>
        </w:rPr>
        <w:t xml:space="preserve"> </w:t>
      </w:r>
      <w:r w:rsidR="00F04CE0" w:rsidRPr="00AE5C9C">
        <w:rPr>
          <w:rFonts w:ascii="Verdana" w:hAnsi="Verdana"/>
          <w:sz w:val="22"/>
          <w:szCs w:val="22"/>
        </w:rPr>
        <w:t xml:space="preserve">and </w:t>
      </w:r>
      <w:r w:rsidR="00825716" w:rsidRPr="00AE5C9C">
        <w:rPr>
          <w:rFonts w:ascii="Verdana" w:hAnsi="Verdana"/>
          <w:sz w:val="22"/>
          <w:szCs w:val="22"/>
        </w:rPr>
        <w:t xml:space="preserve">to </w:t>
      </w:r>
      <w:r w:rsidR="00F04CE0" w:rsidRPr="00AE5C9C">
        <w:rPr>
          <w:rFonts w:ascii="Verdana" w:hAnsi="Verdana"/>
          <w:sz w:val="22"/>
          <w:szCs w:val="22"/>
        </w:rPr>
        <w:t>increase training and technical assistance (T/TA) funds.</w:t>
      </w:r>
      <w:r w:rsidRPr="00AE5C9C">
        <w:rPr>
          <w:rFonts w:ascii="Verdana" w:hAnsi="Verdana"/>
          <w:sz w:val="22"/>
          <w:szCs w:val="22"/>
        </w:rPr>
        <w:t xml:space="preserve">  The following proposed Federal program costs are accompanied with an explanation and justification for the proposed expenditures. All personnel costs are reasonable and conform to</w:t>
      </w:r>
      <w:r w:rsidRPr="00AE5C9C">
        <w:rPr>
          <w:rFonts w:ascii="Verdana" w:hAnsi="Verdana"/>
          <w:color w:val="404040"/>
          <w:sz w:val="22"/>
          <w:szCs w:val="22"/>
        </w:rPr>
        <w:t xml:space="preserve"> </w:t>
      </w:r>
      <w:r w:rsidRPr="00AE5C9C">
        <w:rPr>
          <w:rFonts w:ascii="Verdana" w:hAnsi="Verdana"/>
          <w:sz w:val="22"/>
          <w:szCs w:val="22"/>
        </w:rPr>
        <w:t>2 CFR Part 225 Appendix B</w:t>
      </w:r>
      <w:r w:rsidRPr="00AE5C9C">
        <w:rPr>
          <w:rFonts w:ascii="Verdana" w:hAnsi="Verdana"/>
          <w:color w:val="404040"/>
          <w:sz w:val="22"/>
          <w:szCs w:val="22"/>
        </w:rPr>
        <w:t xml:space="preserve"> </w:t>
      </w:r>
      <w:r w:rsidRPr="00AE5C9C">
        <w:rPr>
          <w:rFonts w:ascii="Verdana" w:hAnsi="Verdana"/>
          <w:sz w:val="22"/>
          <w:szCs w:val="22"/>
        </w:rPr>
        <w:t>Cost Principles for State, Local, and Indian Tribal Governments (OMB Circular A-87). </w:t>
      </w:r>
    </w:p>
    <w:p w:rsidR="006C19CA" w:rsidRDefault="006C19CA" w:rsidP="00615322">
      <w:pPr>
        <w:jc w:val="both"/>
        <w:rPr>
          <w:rFonts w:ascii="Arial Narrow" w:hAnsi="Arial Narrow"/>
          <w:sz w:val="28"/>
          <w:szCs w:val="28"/>
        </w:rPr>
      </w:pPr>
    </w:p>
    <w:p w:rsidR="006E2F44" w:rsidRDefault="006E2F44" w:rsidP="00615322">
      <w:pPr>
        <w:jc w:val="both"/>
        <w:rPr>
          <w:rFonts w:ascii="Arial Narrow" w:hAnsi="Arial Narrow"/>
          <w:sz w:val="28"/>
          <w:szCs w:val="28"/>
        </w:rPr>
      </w:pPr>
    </w:p>
    <w:p w:rsidR="00F04CE0" w:rsidRPr="000D786C" w:rsidRDefault="00F04CE0" w:rsidP="00615322">
      <w:pPr>
        <w:jc w:val="both"/>
        <w:rPr>
          <w:rFonts w:ascii="Verdana" w:hAnsi="Verdana"/>
          <w:b/>
          <w:u w:val="single"/>
        </w:rPr>
      </w:pPr>
      <w:r w:rsidRPr="000D786C">
        <w:rPr>
          <w:rFonts w:ascii="Verdana" w:hAnsi="Verdana"/>
          <w:b/>
          <w:u w:val="single"/>
        </w:rPr>
        <w:t>Expansion Funds</w:t>
      </w:r>
      <w:r w:rsidR="00690AB8" w:rsidRPr="000D786C">
        <w:rPr>
          <w:rFonts w:ascii="Verdana" w:hAnsi="Verdana"/>
          <w:b/>
          <w:u w:val="single"/>
        </w:rPr>
        <w:t xml:space="preserve">- </w:t>
      </w:r>
      <w:r w:rsidR="006C19CA" w:rsidRPr="000D786C">
        <w:rPr>
          <w:rFonts w:ascii="Verdana" w:hAnsi="Verdana"/>
          <w:b/>
          <w:u w:val="single"/>
        </w:rPr>
        <w:t>September 30, 2012 to December 31, 2012</w:t>
      </w:r>
    </w:p>
    <w:p w:rsidR="00825716" w:rsidRDefault="00825716" w:rsidP="00615322">
      <w:pPr>
        <w:jc w:val="both"/>
        <w:rPr>
          <w:rFonts w:ascii="Arial Narrow" w:hAnsi="Arial Narrow"/>
          <w:b/>
          <w:sz w:val="28"/>
          <w:szCs w:val="28"/>
        </w:rPr>
      </w:pPr>
    </w:p>
    <w:p w:rsidR="000D786C" w:rsidRPr="00F04CE0" w:rsidRDefault="000D786C" w:rsidP="00615322">
      <w:pPr>
        <w:jc w:val="both"/>
        <w:rPr>
          <w:rFonts w:ascii="Arial Narrow" w:hAnsi="Arial Narrow"/>
          <w:b/>
          <w:sz w:val="28"/>
          <w:szCs w:val="28"/>
        </w:rPr>
      </w:pPr>
    </w:p>
    <w:p w:rsidR="00615322" w:rsidRPr="00CC6D65" w:rsidRDefault="00615322" w:rsidP="00615322">
      <w:pPr>
        <w:pBdr>
          <w:top w:val="single" w:sz="4" w:space="1" w:color="auto" w:shadow="1"/>
          <w:left w:val="single" w:sz="4" w:space="4" w:color="auto" w:shadow="1"/>
          <w:bottom w:val="single" w:sz="4" w:space="1" w:color="auto" w:shadow="1"/>
          <w:right w:val="single" w:sz="4" w:space="4" w:color="auto" w:shadow="1"/>
        </w:pBdr>
        <w:jc w:val="both"/>
        <w:rPr>
          <w:rFonts w:ascii="Verdana" w:hAnsi="Verdana"/>
          <w:b/>
          <w:sz w:val="22"/>
          <w:szCs w:val="22"/>
        </w:rPr>
      </w:pPr>
      <w:r w:rsidRPr="00CC6D65">
        <w:rPr>
          <w:rFonts w:ascii="Verdana" w:hAnsi="Verdana"/>
          <w:b/>
          <w:sz w:val="22"/>
          <w:szCs w:val="22"/>
        </w:rPr>
        <w:t>Personnel (Object class category 6.a)</w:t>
      </w:r>
    </w:p>
    <w:p w:rsidR="00615322" w:rsidRDefault="00615322" w:rsidP="00615322">
      <w:pPr>
        <w:jc w:val="both"/>
        <w:rPr>
          <w:sz w:val="28"/>
          <w:szCs w:val="28"/>
        </w:rPr>
      </w:pPr>
    </w:p>
    <w:p w:rsidR="00615322" w:rsidRPr="008D7266" w:rsidRDefault="00615322" w:rsidP="00615322">
      <w:pPr>
        <w:jc w:val="both"/>
        <w:rPr>
          <w:rFonts w:ascii="Arial Narrow" w:hAnsi="Arial Narrow"/>
          <w:sz w:val="28"/>
          <w:szCs w:val="28"/>
        </w:rPr>
      </w:pPr>
      <w:r w:rsidRPr="00AE5C9C">
        <w:rPr>
          <w:rFonts w:ascii="Verdana" w:hAnsi="Verdana"/>
          <w:sz w:val="22"/>
          <w:szCs w:val="22"/>
        </w:rPr>
        <w:t xml:space="preserve">All proposed salaries are appropriate and competitive in the region and </w:t>
      </w:r>
      <w:r w:rsidR="00FE7C6F" w:rsidRPr="00AE5C9C">
        <w:rPr>
          <w:rFonts w:ascii="Verdana" w:hAnsi="Verdana"/>
          <w:sz w:val="22"/>
          <w:szCs w:val="22"/>
        </w:rPr>
        <w:t xml:space="preserve">the </w:t>
      </w:r>
      <w:r w:rsidRPr="00AE5C9C">
        <w:rPr>
          <w:rFonts w:ascii="Verdana" w:hAnsi="Verdana"/>
          <w:sz w:val="22"/>
          <w:szCs w:val="22"/>
        </w:rPr>
        <w:t>county. The staff of the Hidalgo County Head Start Program will meet all Head Start Requirements and regulations. Salaries are in alignment with prevailing wages in the area as well as with federally recommended levels.  All salaries are in compliance with S</w:t>
      </w:r>
      <w:r w:rsidR="00FE7C6F" w:rsidRPr="00AE5C9C">
        <w:rPr>
          <w:rFonts w:ascii="Verdana" w:hAnsi="Verdana"/>
          <w:sz w:val="22"/>
          <w:szCs w:val="22"/>
        </w:rPr>
        <w:t xml:space="preserve">ection 653 of the </w:t>
      </w:r>
      <w:r w:rsidRPr="00AE5C9C">
        <w:rPr>
          <w:rFonts w:ascii="Verdana" w:hAnsi="Verdana"/>
          <w:sz w:val="22"/>
          <w:szCs w:val="22"/>
        </w:rPr>
        <w:t>Head Start Act.</w:t>
      </w:r>
      <w:r w:rsidR="00825716" w:rsidRPr="00AE5C9C">
        <w:rPr>
          <w:rFonts w:ascii="Verdana" w:hAnsi="Verdana"/>
          <w:sz w:val="22"/>
          <w:szCs w:val="22"/>
        </w:rPr>
        <w:t xml:space="preserve">  The salaries reflect thirteen weeks (53 days) of operation from September 30, 2012 through December 31, 2013</w:t>
      </w:r>
      <w:r w:rsidR="00FE7C6F" w:rsidRPr="00AE5C9C">
        <w:rPr>
          <w:rFonts w:ascii="Verdana" w:hAnsi="Verdana"/>
          <w:sz w:val="22"/>
          <w:szCs w:val="22"/>
        </w:rPr>
        <w:t>. The calculations are projected</w:t>
      </w:r>
      <w:r w:rsidR="00825716" w:rsidRPr="00AE5C9C">
        <w:rPr>
          <w:rFonts w:ascii="Verdana" w:hAnsi="Verdana"/>
          <w:sz w:val="22"/>
          <w:szCs w:val="22"/>
        </w:rPr>
        <w:t xml:space="preserve"> on the salary scale including the proposed 1.0% in this supplemental application</w:t>
      </w:r>
      <w:r w:rsidR="00825716">
        <w:rPr>
          <w:rFonts w:ascii="Arial Narrow" w:hAnsi="Arial Narrow"/>
          <w:sz w:val="28"/>
          <w:szCs w:val="28"/>
        </w:rPr>
        <w:t>.</w:t>
      </w:r>
      <w:r w:rsidRPr="008D7266">
        <w:rPr>
          <w:rFonts w:ascii="Arial Narrow" w:hAnsi="Arial Narrow"/>
          <w:sz w:val="28"/>
          <w:szCs w:val="28"/>
        </w:rPr>
        <w:t xml:space="preserve"> </w:t>
      </w:r>
    </w:p>
    <w:p w:rsidR="00615322" w:rsidRPr="006F4981" w:rsidRDefault="00615322" w:rsidP="006F4981">
      <w:pPr>
        <w:jc w:val="both"/>
        <w:rPr>
          <w:rFonts w:ascii="Arial Narrow" w:hAnsi="Arial Narrow"/>
        </w:rPr>
      </w:pPr>
      <w:r w:rsidRPr="002F7AE7">
        <w:rPr>
          <w:rFonts w:ascii="Arial Narrow" w:hAnsi="Arial Narrow"/>
        </w:rPr>
        <w:t xml:space="preserve"> </w:t>
      </w:r>
    </w:p>
    <w:tbl>
      <w:tblPr>
        <w:tblpPr w:leftFromText="180" w:rightFromText="180" w:vertAnchor="text" w:horzAnchor="page" w:tblpX="1820" w:tblpY="-51"/>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1818"/>
      </w:tblGrid>
      <w:tr w:rsidR="00615322" w:rsidRPr="00615322" w:rsidTr="004F1983">
        <w:trPr>
          <w:trHeight w:val="350"/>
        </w:trPr>
        <w:tc>
          <w:tcPr>
            <w:tcW w:w="7578" w:type="dxa"/>
            <w:shd w:val="clear" w:color="auto" w:fill="auto"/>
            <w:noWrap/>
            <w:vAlign w:val="bottom"/>
            <w:hideMark/>
          </w:tcPr>
          <w:p w:rsidR="00615322" w:rsidRPr="00615322" w:rsidRDefault="00615322" w:rsidP="004F1983">
            <w:pPr>
              <w:jc w:val="center"/>
              <w:rPr>
                <w:rFonts w:ascii="Verdana" w:hAnsi="Verdana"/>
                <w:b/>
                <w:color w:val="000000"/>
                <w:sz w:val="22"/>
                <w:szCs w:val="22"/>
              </w:rPr>
            </w:pPr>
            <w:r w:rsidRPr="00615322">
              <w:rPr>
                <w:rFonts w:ascii="Verdana" w:hAnsi="Verdana"/>
                <w:b/>
                <w:color w:val="000000"/>
                <w:sz w:val="22"/>
                <w:szCs w:val="22"/>
              </w:rPr>
              <w:t>Position</w:t>
            </w:r>
          </w:p>
        </w:tc>
        <w:tc>
          <w:tcPr>
            <w:tcW w:w="1818" w:type="dxa"/>
            <w:shd w:val="clear" w:color="auto" w:fill="auto"/>
            <w:noWrap/>
            <w:vAlign w:val="bottom"/>
            <w:hideMark/>
          </w:tcPr>
          <w:p w:rsidR="00615322" w:rsidRPr="00615322" w:rsidRDefault="00615322" w:rsidP="004F1983">
            <w:pPr>
              <w:jc w:val="center"/>
              <w:rPr>
                <w:rFonts w:ascii="Verdana" w:hAnsi="Verdana"/>
                <w:b/>
                <w:color w:val="000000"/>
                <w:sz w:val="22"/>
                <w:szCs w:val="22"/>
              </w:rPr>
            </w:pPr>
            <w:r w:rsidRPr="00615322">
              <w:rPr>
                <w:rFonts w:ascii="Verdana" w:hAnsi="Verdana"/>
                <w:b/>
                <w:color w:val="000000"/>
                <w:sz w:val="22"/>
                <w:szCs w:val="22"/>
              </w:rPr>
              <w:t>Amount</w:t>
            </w:r>
          </w:p>
        </w:tc>
      </w:tr>
      <w:tr w:rsidR="00615322" w:rsidRPr="00615322" w:rsidTr="004F1983">
        <w:trPr>
          <w:trHeight w:val="300"/>
        </w:trPr>
        <w:tc>
          <w:tcPr>
            <w:tcW w:w="7578" w:type="dxa"/>
            <w:shd w:val="clear" w:color="auto" w:fill="auto"/>
            <w:noWrap/>
            <w:vAlign w:val="bottom"/>
            <w:hideMark/>
          </w:tcPr>
          <w:p w:rsidR="00615322" w:rsidRPr="00615322" w:rsidRDefault="006C19CA" w:rsidP="004F1983">
            <w:pPr>
              <w:rPr>
                <w:rFonts w:ascii="Verdana" w:hAnsi="Verdana"/>
                <w:color w:val="000000"/>
                <w:sz w:val="22"/>
                <w:szCs w:val="22"/>
              </w:rPr>
            </w:pPr>
            <w:r>
              <w:rPr>
                <w:rFonts w:ascii="Verdana" w:hAnsi="Verdana"/>
                <w:color w:val="000000"/>
                <w:sz w:val="22"/>
                <w:szCs w:val="22"/>
              </w:rPr>
              <w:t xml:space="preserve">Salaries </w:t>
            </w:r>
            <w:r w:rsidR="00690AB8">
              <w:rPr>
                <w:rFonts w:ascii="Verdana" w:hAnsi="Verdana"/>
                <w:color w:val="000000"/>
                <w:sz w:val="22"/>
                <w:szCs w:val="22"/>
              </w:rPr>
              <w:t xml:space="preserve">for </w:t>
            </w:r>
            <w:r>
              <w:rPr>
                <w:rFonts w:ascii="Verdana" w:hAnsi="Verdana"/>
                <w:color w:val="000000"/>
                <w:sz w:val="22"/>
                <w:szCs w:val="22"/>
              </w:rPr>
              <w:t>13 weeks</w:t>
            </w:r>
          </w:p>
        </w:tc>
        <w:tc>
          <w:tcPr>
            <w:tcW w:w="1818" w:type="dxa"/>
            <w:shd w:val="clear" w:color="auto" w:fill="auto"/>
            <w:noWrap/>
            <w:vAlign w:val="bottom"/>
            <w:hideMark/>
          </w:tcPr>
          <w:p w:rsidR="00615322" w:rsidRPr="00615322" w:rsidRDefault="00615322" w:rsidP="004F1983">
            <w:pPr>
              <w:jc w:val="center"/>
              <w:rPr>
                <w:rFonts w:ascii="Verdana" w:hAnsi="Verdana"/>
                <w:color w:val="000000"/>
                <w:sz w:val="22"/>
                <w:szCs w:val="22"/>
              </w:rPr>
            </w:pPr>
          </w:p>
        </w:tc>
      </w:tr>
      <w:tr w:rsidR="00615322" w:rsidRPr="00615322" w:rsidTr="004F1983">
        <w:trPr>
          <w:trHeight w:val="300"/>
        </w:trPr>
        <w:tc>
          <w:tcPr>
            <w:tcW w:w="7578" w:type="dxa"/>
            <w:shd w:val="clear" w:color="auto" w:fill="auto"/>
            <w:noWrap/>
            <w:vAlign w:val="bottom"/>
            <w:hideMark/>
          </w:tcPr>
          <w:p w:rsidR="00615322" w:rsidRPr="00615322" w:rsidRDefault="00615322" w:rsidP="004F1983">
            <w:pPr>
              <w:rPr>
                <w:rFonts w:ascii="Verdana" w:hAnsi="Verdana"/>
                <w:color w:val="000000"/>
                <w:sz w:val="22"/>
                <w:szCs w:val="22"/>
              </w:rPr>
            </w:pPr>
            <w:r w:rsidRPr="00615322">
              <w:rPr>
                <w:rFonts w:ascii="Verdana" w:hAnsi="Verdana"/>
                <w:color w:val="000000"/>
                <w:sz w:val="22"/>
                <w:szCs w:val="22"/>
              </w:rPr>
              <w:t>7 teachers</w:t>
            </w:r>
            <w:r w:rsidR="00963F92">
              <w:rPr>
                <w:rFonts w:ascii="Verdana" w:hAnsi="Verdana"/>
                <w:color w:val="000000"/>
                <w:sz w:val="22"/>
                <w:szCs w:val="22"/>
              </w:rPr>
              <w:t>(</w:t>
            </w:r>
            <w:r w:rsidR="00A12178">
              <w:rPr>
                <w:rFonts w:ascii="Verdana" w:hAnsi="Verdana"/>
                <w:color w:val="000000"/>
                <w:sz w:val="22"/>
                <w:szCs w:val="22"/>
              </w:rPr>
              <w:t>$25,944.88</w:t>
            </w:r>
            <w:r w:rsidR="00963F92">
              <w:rPr>
                <w:rFonts w:ascii="Verdana" w:hAnsi="Verdana"/>
                <w:color w:val="000000"/>
                <w:sz w:val="22"/>
                <w:szCs w:val="22"/>
              </w:rPr>
              <w:t xml:space="preserve"> per year)</w:t>
            </w:r>
            <w:r w:rsidRPr="00615322">
              <w:rPr>
                <w:rFonts w:ascii="Verdana" w:hAnsi="Verdana"/>
                <w:color w:val="000000"/>
                <w:sz w:val="22"/>
                <w:szCs w:val="22"/>
              </w:rPr>
              <w:t>with</w:t>
            </w:r>
            <w:r>
              <w:rPr>
                <w:rFonts w:ascii="Verdana" w:hAnsi="Verdana"/>
                <w:color w:val="000000"/>
                <w:sz w:val="22"/>
                <w:szCs w:val="22"/>
              </w:rPr>
              <w:t xml:space="preserve"> AA @</w:t>
            </w:r>
            <w:r w:rsidRPr="00615322">
              <w:rPr>
                <w:rFonts w:ascii="Verdana" w:hAnsi="Verdana"/>
                <w:color w:val="000000"/>
                <w:sz w:val="22"/>
                <w:szCs w:val="22"/>
              </w:rPr>
              <w:t xml:space="preserve"> </w:t>
            </w:r>
            <w:r w:rsidR="00A12178">
              <w:rPr>
                <w:rFonts w:ascii="Verdana" w:hAnsi="Verdana"/>
                <w:color w:val="000000"/>
                <w:sz w:val="22"/>
                <w:szCs w:val="22"/>
              </w:rPr>
              <w:t>$6,486.22</w:t>
            </w:r>
            <w:r w:rsidR="00963F92">
              <w:rPr>
                <w:rFonts w:ascii="Verdana" w:hAnsi="Verdana"/>
                <w:color w:val="000000"/>
                <w:sz w:val="22"/>
                <w:szCs w:val="22"/>
              </w:rPr>
              <w:t xml:space="preserve"> </w:t>
            </w:r>
            <w:r w:rsidR="004F1983">
              <w:rPr>
                <w:rFonts w:ascii="Verdana" w:hAnsi="Verdana"/>
                <w:color w:val="000000"/>
                <w:sz w:val="22"/>
                <w:szCs w:val="22"/>
              </w:rPr>
              <w:t>ea.</w:t>
            </w:r>
            <w:r w:rsidR="00690AB8">
              <w:rPr>
                <w:rFonts w:ascii="Verdana" w:hAnsi="Verdana"/>
                <w:color w:val="000000"/>
                <w:sz w:val="22"/>
                <w:szCs w:val="22"/>
              </w:rPr>
              <w:t xml:space="preserve"> </w:t>
            </w:r>
            <w:r w:rsidR="00963F92">
              <w:rPr>
                <w:rFonts w:ascii="Verdana" w:hAnsi="Verdana"/>
                <w:color w:val="000000"/>
                <w:sz w:val="22"/>
                <w:szCs w:val="22"/>
              </w:rPr>
              <w:t xml:space="preserve">for </w:t>
            </w:r>
            <w:r w:rsidR="006C19CA">
              <w:rPr>
                <w:rFonts w:ascii="Verdana" w:hAnsi="Verdana"/>
                <w:color w:val="000000"/>
                <w:sz w:val="22"/>
                <w:szCs w:val="22"/>
              </w:rPr>
              <w:t>13 weeks</w:t>
            </w:r>
          </w:p>
        </w:tc>
        <w:tc>
          <w:tcPr>
            <w:tcW w:w="1818" w:type="dxa"/>
            <w:shd w:val="clear" w:color="auto" w:fill="auto"/>
            <w:noWrap/>
            <w:vAlign w:val="bottom"/>
            <w:hideMark/>
          </w:tcPr>
          <w:p w:rsidR="00615322" w:rsidRPr="00615322" w:rsidRDefault="00615322" w:rsidP="004F1983">
            <w:pPr>
              <w:jc w:val="right"/>
              <w:rPr>
                <w:rFonts w:ascii="Verdana" w:hAnsi="Verdana"/>
                <w:color w:val="000000"/>
                <w:sz w:val="22"/>
                <w:szCs w:val="22"/>
              </w:rPr>
            </w:pPr>
            <w:r>
              <w:rPr>
                <w:rFonts w:ascii="Verdana" w:hAnsi="Verdana"/>
                <w:color w:val="000000"/>
                <w:sz w:val="22"/>
                <w:szCs w:val="22"/>
              </w:rPr>
              <w:t>$</w:t>
            </w:r>
            <w:r w:rsidR="00A12178">
              <w:rPr>
                <w:rFonts w:ascii="Verdana" w:hAnsi="Verdana"/>
                <w:color w:val="000000"/>
                <w:sz w:val="22"/>
                <w:szCs w:val="22"/>
              </w:rPr>
              <w:t>45,403</w:t>
            </w:r>
            <w:r w:rsidR="007F4670">
              <w:rPr>
                <w:rFonts w:ascii="Verdana" w:hAnsi="Verdana"/>
                <w:color w:val="000000"/>
                <w:sz w:val="22"/>
                <w:szCs w:val="22"/>
              </w:rPr>
              <w:t>.5</w:t>
            </w:r>
            <w:r w:rsidR="00963F92">
              <w:rPr>
                <w:rFonts w:ascii="Verdana" w:hAnsi="Verdana"/>
                <w:color w:val="000000"/>
                <w:sz w:val="22"/>
                <w:szCs w:val="22"/>
              </w:rPr>
              <w:t>4</w:t>
            </w:r>
          </w:p>
        </w:tc>
      </w:tr>
      <w:tr w:rsidR="00615322" w:rsidRPr="00615322" w:rsidTr="004F1983">
        <w:trPr>
          <w:trHeight w:val="300"/>
        </w:trPr>
        <w:tc>
          <w:tcPr>
            <w:tcW w:w="7578" w:type="dxa"/>
            <w:shd w:val="clear" w:color="auto" w:fill="auto"/>
            <w:noWrap/>
            <w:vAlign w:val="bottom"/>
            <w:hideMark/>
          </w:tcPr>
          <w:p w:rsidR="00615322" w:rsidRPr="00615322" w:rsidRDefault="00615322" w:rsidP="004F1983">
            <w:pPr>
              <w:rPr>
                <w:rFonts w:ascii="Verdana" w:hAnsi="Verdana"/>
                <w:color w:val="000000"/>
                <w:sz w:val="22"/>
                <w:szCs w:val="22"/>
              </w:rPr>
            </w:pPr>
            <w:r>
              <w:rPr>
                <w:rFonts w:ascii="Verdana" w:hAnsi="Verdana"/>
                <w:color w:val="000000"/>
                <w:sz w:val="22"/>
                <w:szCs w:val="22"/>
              </w:rPr>
              <w:t>7 assistant teachers</w:t>
            </w:r>
            <w:r w:rsidR="00963F92">
              <w:rPr>
                <w:rFonts w:ascii="Verdana" w:hAnsi="Verdana"/>
                <w:color w:val="000000"/>
                <w:sz w:val="22"/>
                <w:szCs w:val="22"/>
              </w:rPr>
              <w:t>(</w:t>
            </w:r>
            <w:r w:rsidR="00A12178">
              <w:rPr>
                <w:rFonts w:ascii="Verdana" w:hAnsi="Verdana"/>
                <w:color w:val="000000"/>
                <w:sz w:val="22"/>
                <w:szCs w:val="22"/>
              </w:rPr>
              <w:t>$17,940.83</w:t>
            </w:r>
            <w:r w:rsidR="00690AB8">
              <w:rPr>
                <w:rFonts w:ascii="Verdana" w:hAnsi="Verdana"/>
                <w:color w:val="000000"/>
                <w:sz w:val="22"/>
                <w:szCs w:val="22"/>
              </w:rPr>
              <w:t xml:space="preserve"> per year</w:t>
            </w:r>
            <w:r w:rsidR="00963F92">
              <w:rPr>
                <w:rFonts w:ascii="Verdana" w:hAnsi="Verdana"/>
                <w:color w:val="000000"/>
                <w:sz w:val="22"/>
                <w:szCs w:val="22"/>
              </w:rPr>
              <w:t xml:space="preserve">) </w:t>
            </w:r>
            <w:r>
              <w:rPr>
                <w:rFonts w:ascii="Verdana" w:hAnsi="Verdana"/>
                <w:color w:val="000000"/>
                <w:sz w:val="22"/>
                <w:szCs w:val="22"/>
              </w:rPr>
              <w:t>@</w:t>
            </w:r>
            <w:r w:rsidRPr="00615322">
              <w:rPr>
                <w:rFonts w:ascii="Verdana" w:hAnsi="Verdana"/>
                <w:color w:val="000000"/>
                <w:sz w:val="22"/>
                <w:szCs w:val="22"/>
              </w:rPr>
              <w:t xml:space="preserve"> </w:t>
            </w:r>
            <w:r w:rsidR="00091FD2">
              <w:rPr>
                <w:rFonts w:ascii="Verdana" w:hAnsi="Verdana"/>
                <w:color w:val="000000"/>
                <w:sz w:val="22"/>
                <w:szCs w:val="22"/>
              </w:rPr>
              <w:t>$4,485.21</w:t>
            </w:r>
            <w:r w:rsidR="00963F92">
              <w:rPr>
                <w:rFonts w:ascii="Verdana" w:hAnsi="Verdana"/>
                <w:color w:val="000000"/>
                <w:sz w:val="22"/>
                <w:szCs w:val="22"/>
              </w:rPr>
              <w:t xml:space="preserve"> </w:t>
            </w:r>
            <w:r w:rsidR="00690AB8">
              <w:rPr>
                <w:rFonts w:ascii="Verdana" w:hAnsi="Verdana"/>
                <w:color w:val="000000"/>
                <w:sz w:val="22"/>
                <w:szCs w:val="22"/>
              </w:rPr>
              <w:t xml:space="preserve">each </w:t>
            </w:r>
            <w:r w:rsidR="00963F92">
              <w:rPr>
                <w:rFonts w:ascii="Verdana" w:hAnsi="Verdana"/>
                <w:color w:val="000000"/>
                <w:sz w:val="22"/>
                <w:szCs w:val="22"/>
              </w:rPr>
              <w:t xml:space="preserve">for </w:t>
            </w:r>
            <w:r w:rsidR="006C19CA">
              <w:rPr>
                <w:rFonts w:ascii="Verdana" w:hAnsi="Verdana"/>
                <w:color w:val="000000"/>
                <w:sz w:val="22"/>
                <w:szCs w:val="22"/>
              </w:rPr>
              <w:t>13 weeks</w:t>
            </w:r>
          </w:p>
        </w:tc>
        <w:tc>
          <w:tcPr>
            <w:tcW w:w="1818" w:type="dxa"/>
            <w:shd w:val="clear" w:color="auto" w:fill="auto"/>
            <w:noWrap/>
            <w:vAlign w:val="bottom"/>
            <w:hideMark/>
          </w:tcPr>
          <w:p w:rsidR="00615322" w:rsidRPr="00615322" w:rsidRDefault="00615322" w:rsidP="004F1983">
            <w:pPr>
              <w:jc w:val="right"/>
              <w:rPr>
                <w:rFonts w:ascii="Verdana" w:hAnsi="Verdana"/>
                <w:color w:val="000000"/>
                <w:sz w:val="22"/>
                <w:szCs w:val="22"/>
              </w:rPr>
            </w:pPr>
            <w:r>
              <w:rPr>
                <w:rFonts w:ascii="Verdana" w:hAnsi="Verdana"/>
                <w:color w:val="000000"/>
                <w:sz w:val="22"/>
                <w:szCs w:val="22"/>
              </w:rPr>
              <w:t>$</w:t>
            </w:r>
            <w:r w:rsidR="00963F92">
              <w:rPr>
                <w:rFonts w:ascii="Verdana" w:hAnsi="Verdana"/>
                <w:color w:val="000000"/>
                <w:sz w:val="22"/>
                <w:szCs w:val="22"/>
              </w:rPr>
              <w:t>3</w:t>
            </w:r>
            <w:r w:rsidR="00A12178">
              <w:rPr>
                <w:rFonts w:ascii="Verdana" w:hAnsi="Verdana"/>
                <w:color w:val="000000"/>
                <w:sz w:val="22"/>
                <w:szCs w:val="22"/>
              </w:rPr>
              <w:t>1,396.4</w:t>
            </w:r>
            <w:r w:rsidR="00005003">
              <w:rPr>
                <w:rFonts w:ascii="Verdana" w:hAnsi="Verdana"/>
                <w:color w:val="000000"/>
                <w:sz w:val="22"/>
                <w:szCs w:val="22"/>
              </w:rPr>
              <w:t>5</w:t>
            </w:r>
          </w:p>
        </w:tc>
      </w:tr>
      <w:tr w:rsidR="00615322" w:rsidRPr="00615322" w:rsidTr="004F1983">
        <w:trPr>
          <w:trHeight w:val="300"/>
        </w:trPr>
        <w:tc>
          <w:tcPr>
            <w:tcW w:w="7578" w:type="dxa"/>
            <w:shd w:val="clear" w:color="auto" w:fill="auto"/>
            <w:noWrap/>
            <w:vAlign w:val="bottom"/>
            <w:hideMark/>
          </w:tcPr>
          <w:p w:rsidR="00615322" w:rsidRPr="00615322" w:rsidRDefault="00615322" w:rsidP="004F1983">
            <w:pPr>
              <w:rPr>
                <w:rFonts w:ascii="Verdana" w:hAnsi="Verdana"/>
                <w:color w:val="000000"/>
                <w:sz w:val="22"/>
                <w:szCs w:val="22"/>
              </w:rPr>
            </w:pPr>
            <w:r w:rsidRPr="00615322">
              <w:rPr>
                <w:rFonts w:ascii="Verdana" w:hAnsi="Verdana"/>
                <w:color w:val="000000"/>
                <w:sz w:val="22"/>
                <w:szCs w:val="22"/>
              </w:rPr>
              <w:t>2 Support Service Assistants</w:t>
            </w:r>
            <w:r w:rsidR="00963F92">
              <w:rPr>
                <w:rFonts w:ascii="Verdana" w:hAnsi="Verdana"/>
                <w:color w:val="000000"/>
                <w:sz w:val="22"/>
                <w:szCs w:val="22"/>
              </w:rPr>
              <w:t>($</w:t>
            </w:r>
            <w:r w:rsidR="00091FD2">
              <w:rPr>
                <w:rFonts w:ascii="Verdana" w:hAnsi="Verdana"/>
                <w:color w:val="000000"/>
                <w:sz w:val="22"/>
                <w:szCs w:val="22"/>
              </w:rPr>
              <w:t>18,886.19</w:t>
            </w:r>
            <w:r w:rsidR="00690AB8">
              <w:rPr>
                <w:rFonts w:ascii="Verdana" w:hAnsi="Verdana"/>
                <w:color w:val="000000"/>
                <w:sz w:val="22"/>
                <w:szCs w:val="22"/>
              </w:rPr>
              <w:t xml:space="preserve"> per year</w:t>
            </w:r>
            <w:r w:rsidR="00963F92">
              <w:rPr>
                <w:rFonts w:ascii="Verdana" w:hAnsi="Verdana"/>
                <w:color w:val="000000"/>
                <w:sz w:val="22"/>
                <w:szCs w:val="22"/>
              </w:rPr>
              <w:t>)</w:t>
            </w:r>
            <w:r w:rsidRPr="00615322">
              <w:rPr>
                <w:rFonts w:ascii="Verdana" w:hAnsi="Verdana"/>
                <w:color w:val="000000"/>
                <w:sz w:val="22"/>
                <w:szCs w:val="22"/>
              </w:rPr>
              <w:t xml:space="preserve"> </w:t>
            </w:r>
            <w:r>
              <w:rPr>
                <w:rFonts w:ascii="Verdana" w:hAnsi="Verdana"/>
                <w:color w:val="000000"/>
                <w:sz w:val="22"/>
                <w:szCs w:val="22"/>
              </w:rPr>
              <w:t>@</w:t>
            </w:r>
            <w:r w:rsidRPr="00615322">
              <w:rPr>
                <w:rFonts w:ascii="Verdana" w:hAnsi="Verdana"/>
                <w:color w:val="000000"/>
                <w:sz w:val="22"/>
                <w:szCs w:val="22"/>
              </w:rPr>
              <w:t xml:space="preserve"> </w:t>
            </w:r>
            <w:r w:rsidR="00963F92">
              <w:rPr>
                <w:rFonts w:ascii="Verdana" w:hAnsi="Verdana"/>
                <w:color w:val="000000"/>
                <w:sz w:val="22"/>
                <w:szCs w:val="22"/>
              </w:rPr>
              <w:t>$</w:t>
            </w:r>
            <w:r w:rsidR="00091FD2">
              <w:rPr>
                <w:rFonts w:ascii="Verdana" w:hAnsi="Verdana"/>
                <w:color w:val="000000"/>
                <w:sz w:val="22"/>
                <w:szCs w:val="22"/>
              </w:rPr>
              <w:t>4,721.55</w:t>
            </w:r>
            <w:r w:rsidR="00690AB8">
              <w:rPr>
                <w:rFonts w:ascii="Verdana" w:hAnsi="Verdana"/>
                <w:color w:val="000000"/>
                <w:sz w:val="22"/>
                <w:szCs w:val="22"/>
              </w:rPr>
              <w:t xml:space="preserve"> each for </w:t>
            </w:r>
            <w:r w:rsidR="006C19CA">
              <w:rPr>
                <w:rFonts w:ascii="Verdana" w:hAnsi="Verdana"/>
                <w:color w:val="000000"/>
                <w:sz w:val="22"/>
                <w:szCs w:val="22"/>
              </w:rPr>
              <w:t>13 weeks</w:t>
            </w:r>
          </w:p>
        </w:tc>
        <w:tc>
          <w:tcPr>
            <w:tcW w:w="1818" w:type="dxa"/>
            <w:shd w:val="clear" w:color="auto" w:fill="auto"/>
            <w:noWrap/>
            <w:vAlign w:val="bottom"/>
            <w:hideMark/>
          </w:tcPr>
          <w:p w:rsidR="00615322" w:rsidRPr="00615322" w:rsidRDefault="00963F92" w:rsidP="004F1983">
            <w:pPr>
              <w:jc w:val="right"/>
              <w:rPr>
                <w:rFonts w:ascii="Verdana" w:hAnsi="Verdana"/>
                <w:color w:val="000000"/>
                <w:sz w:val="22"/>
                <w:szCs w:val="22"/>
              </w:rPr>
            </w:pPr>
            <w:r>
              <w:rPr>
                <w:rFonts w:ascii="Verdana" w:hAnsi="Verdana"/>
                <w:color w:val="000000"/>
                <w:sz w:val="22"/>
                <w:szCs w:val="22"/>
              </w:rPr>
              <w:t xml:space="preserve">   </w:t>
            </w:r>
            <w:r w:rsidR="00615322">
              <w:rPr>
                <w:rFonts w:ascii="Verdana" w:hAnsi="Verdana"/>
                <w:color w:val="000000"/>
                <w:sz w:val="22"/>
                <w:szCs w:val="22"/>
              </w:rPr>
              <w:t>$</w:t>
            </w:r>
            <w:r>
              <w:rPr>
                <w:rFonts w:ascii="Verdana" w:hAnsi="Verdana"/>
                <w:color w:val="000000"/>
                <w:sz w:val="22"/>
                <w:szCs w:val="22"/>
              </w:rPr>
              <w:t>9</w:t>
            </w:r>
            <w:r w:rsidR="00A12178">
              <w:rPr>
                <w:rFonts w:ascii="Verdana" w:hAnsi="Verdana"/>
                <w:color w:val="000000"/>
                <w:sz w:val="22"/>
                <w:szCs w:val="22"/>
              </w:rPr>
              <w:t>,443.10</w:t>
            </w:r>
          </w:p>
        </w:tc>
      </w:tr>
      <w:tr w:rsidR="00615322" w:rsidRPr="00615322" w:rsidTr="004F1983">
        <w:trPr>
          <w:trHeight w:val="300"/>
        </w:trPr>
        <w:tc>
          <w:tcPr>
            <w:tcW w:w="7578" w:type="dxa"/>
            <w:shd w:val="clear" w:color="auto" w:fill="auto"/>
            <w:noWrap/>
            <w:vAlign w:val="bottom"/>
            <w:hideMark/>
          </w:tcPr>
          <w:p w:rsidR="00615322" w:rsidRPr="00615322" w:rsidRDefault="00690AB8" w:rsidP="004F1983">
            <w:pPr>
              <w:rPr>
                <w:rFonts w:ascii="Verdana" w:hAnsi="Verdana"/>
                <w:color w:val="000000"/>
                <w:sz w:val="22"/>
                <w:szCs w:val="22"/>
              </w:rPr>
            </w:pPr>
            <w:r>
              <w:rPr>
                <w:rFonts w:ascii="Verdana" w:hAnsi="Verdana"/>
                <w:color w:val="000000"/>
                <w:sz w:val="22"/>
                <w:szCs w:val="22"/>
              </w:rPr>
              <w:t>4 Bus Drivers ($</w:t>
            </w:r>
            <w:r w:rsidR="00091FD2">
              <w:rPr>
                <w:rFonts w:ascii="Verdana" w:hAnsi="Verdana"/>
                <w:color w:val="000000"/>
                <w:sz w:val="22"/>
                <w:szCs w:val="22"/>
              </w:rPr>
              <w:t>18,634.10</w:t>
            </w:r>
            <w:r>
              <w:rPr>
                <w:rFonts w:ascii="Verdana" w:hAnsi="Verdana"/>
                <w:color w:val="000000"/>
                <w:sz w:val="22"/>
                <w:szCs w:val="22"/>
              </w:rPr>
              <w:t xml:space="preserve"> per year) </w:t>
            </w:r>
            <w:r w:rsidR="00615322">
              <w:rPr>
                <w:rFonts w:ascii="Verdana" w:hAnsi="Verdana"/>
                <w:color w:val="000000"/>
                <w:sz w:val="22"/>
                <w:szCs w:val="22"/>
              </w:rPr>
              <w:t>@</w:t>
            </w:r>
            <w:r w:rsidR="00615322" w:rsidRPr="00615322">
              <w:rPr>
                <w:rFonts w:ascii="Verdana" w:hAnsi="Verdana"/>
                <w:color w:val="000000"/>
                <w:sz w:val="22"/>
                <w:szCs w:val="22"/>
              </w:rPr>
              <w:t xml:space="preserve"> </w:t>
            </w:r>
            <w:r>
              <w:rPr>
                <w:rFonts w:ascii="Verdana" w:hAnsi="Verdana"/>
                <w:color w:val="000000"/>
                <w:sz w:val="22"/>
                <w:szCs w:val="22"/>
              </w:rPr>
              <w:t>$4,</w:t>
            </w:r>
            <w:r w:rsidR="00091FD2">
              <w:rPr>
                <w:rFonts w:ascii="Verdana" w:hAnsi="Verdana"/>
                <w:color w:val="000000"/>
                <w:sz w:val="22"/>
                <w:szCs w:val="22"/>
              </w:rPr>
              <w:t>658.52</w:t>
            </w:r>
            <w:r>
              <w:rPr>
                <w:rFonts w:ascii="Verdana" w:hAnsi="Verdana"/>
                <w:color w:val="000000"/>
                <w:sz w:val="22"/>
                <w:szCs w:val="22"/>
              </w:rPr>
              <w:t xml:space="preserve"> each for </w:t>
            </w:r>
            <w:r w:rsidR="006C19CA">
              <w:rPr>
                <w:rFonts w:ascii="Verdana" w:hAnsi="Verdana"/>
                <w:color w:val="000000"/>
                <w:sz w:val="22"/>
                <w:szCs w:val="22"/>
              </w:rPr>
              <w:t>13 weeks</w:t>
            </w:r>
          </w:p>
        </w:tc>
        <w:tc>
          <w:tcPr>
            <w:tcW w:w="1818" w:type="dxa"/>
            <w:shd w:val="clear" w:color="auto" w:fill="auto"/>
            <w:noWrap/>
            <w:vAlign w:val="bottom"/>
            <w:hideMark/>
          </w:tcPr>
          <w:p w:rsidR="00615322" w:rsidRPr="00615322" w:rsidRDefault="00A12178" w:rsidP="004F1983">
            <w:pPr>
              <w:jc w:val="right"/>
              <w:rPr>
                <w:rFonts w:ascii="Verdana" w:hAnsi="Verdana"/>
                <w:color w:val="000000"/>
                <w:sz w:val="22"/>
                <w:szCs w:val="22"/>
              </w:rPr>
            </w:pPr>
            <w:r>
              <w:rPr>
                <w:rFonts w:ascii="Verdana" w:hAnsi="Verdana"/>
                <w:color w:val="000000"/>
                <w:sz w:val="22"/>
                <w:szCs w:val="22"/>
              </w:rPr>
              <w:t xml:space="preserve"> </w:t>
            </w:r>
            <w:r w:rsidR="00615322">
              <w:rPr>
                <w:rFonts w:ascii="Verdana" w:hAnsi="Verdana"/>
                <w:color w:val="000000"/>
                <w:sz w:val="22"/>
                <w:szCs w:val="22"/>
              </w:rPr>
              <w:t>$</w:t>
            </w:r>
            <w:r w:rsidR="00963F92">
              <w:rPr>
                <w:rFonts w:ascii="Verdana" w:hAnsi="Verdana"/>
                <w:color w:val="000000"/>
                <w:sz w:val="22"/>
                <w:szCs w:val="22"/>
              </w:rPr>
              <w:t>1</w:t>
            </w:r>
            <w:r>
              <w:rPr>
                <w:rFonts w:ascii="Verdana" w:hAnsi="Verdana"/>
                <w:color w:val="000000"/>
                <w:sz w:val="22"/>
                <w:szCs w:val="22"/>
              </w:rPr>
              <w:t>8,634.10</w:t>
            </w:r>
          </w:p>
        </w:tc>
      </w:tr>
      <w:tr w:rsidR="00615322" w:rsidRPr="00615322" w:rsidTr="004F1983">
        <w:trPr>
          <w:trHeight w:val="300"/>
        </w:trPr>
        <w:tc>
          <w:tcPr>
            <w:tcW w:w="7578" w:type="dxa"/>
            <w:shd w:val="clear" w:color="auto" w:fill="auto"/>
            <w:noWrap/>
            <w:vAlign w:val="bottom"/>
            <w:hideMark/>
          </w:tcPr>
          <w:p w:rsidR="00615322" w:rsidRPr="00615322" w:rsidRDefault="00615322" w:rsidP="004F1983">
            <w:pPr>
              <w:rPr>
                <w:rFonts w:ascii="Verdana" w:hAnsi="Verdana"/>
                <w:color w:val="000000"/>
                <w:sz w:val="22"/>
                <w:szCs w:val="22"/>
              </w:rPr>
            </w:pPr>
            <w:r w:rsidRPr="00615322">
              <w:rPr>
                <w:rFonts w:ascii="Verdana" w:hAnsi="Verdana"/>
                <w:color w:val="000000"/>
                <w:sz w:val="22"/>
                <w:szCs w:val="22"/>
              </w:rPr>
              <w:t>4 Bus Aide</w:t>
            </w:r>
            <w:r w:rsidR="00690AB8">
              <w:rPr>
                <w:rFonts w:ascii="Verdana" w:hAnsi="Verdana"/>
                <w:color w:val="000000"/>
                <w:sz w:val="22"/>
                <w:szCs w:val="22"/>
              </w:rPr>
              <w:t>s</w:t>
            </w:r>
            <w:r w:rsidRPr="00615322">
              <w:rPr>
                <w:rFonts w:ascii="Verdana" w:hAnsi="Verdana"/>
                <w:color w:val="000000"/>
                <w:sz w:val="22"/>
                <w:szCs w:val="22"/>
              </w:rPr>
              <w:t xml:space="preserve"> </w:t>
            </w:r>
            <w:r w:rsidR="00690AB8">
              <w:rPr>
                <w:rFonts w:ascii="Verdana" w:hAnsi="Verdana"/>
                <w:color w:val="000000"/>
                <w:sz w:val="22"/>
                <w:szCs w:val="22"/>
              </w:rPr>
              <w:t>($</w:t>
            </w:r>
            <w:r w:rsidR="007F4670">
              <w:rPr>
                <w:rFonts w:ascii="Verdana" w:hAnsi="Verdana"/>
                <w:color w:val="000000"/>
                <w:sz w:val="22"/>
                <w:szCs w:val="22"/>
              </w:rPr>
              <w:t>17,940.83</w:t>
            </w:r>
            <w:r w:rsidR="00690AB8">
              <w:rPr>
                <w:rFonts w:ascii="Verdana" w:hAnsi="Verdana"/>
                <w:color w:val="000000"/>
                <w:sz w:val="22"/>
                <w:szCs w:val="22"/>
              </w:rPr>
              <w:t xml:space="preserve"> per year) </w:t>
            </w:r>
            <w:r>
              <w:rPr>
                <w:rFonts w:ascii="Verdana" w:hAnsi="Verdana"/>
                <w:color w:val="000000"/>
                <w:sz w:val="22"/>
                <w:szCs w:val="22"/>
              </w:rPr>
              <w:t>@</w:t>
            </w:r>
            <w:r w:rsidRPr="00615322">
              <w:rPr>
                <w:rFonts w:ascii="Verdana" w:hAnsi="Verdana"/>
                <w:color w:val="000000"/>
                <w:sz w:val="22"/>
                <w:szCs w:val="22"/>
              </w:rPr>
              <w:t xml:space="preserve"> </w:t>
            </w:r>
            <w:r w:rsidR="00091FD2">
              <w:rPr>
                <w:rFonts w:ascii="Verdana" w:hAnsi="Verdana"/>
                <w:color w:val="000000"/>
                <w:sz w:val="22"/>
                <w:szCs w:val="22"/>
              </w:rPr>
              <w:t>$4,</w:t>
            </w:r>
            <w:r w:rsidR="007F4670">
              <w:rPr>
                <w:rFonts w:ascii="Verdana" w:hAnsi="Verdana"/>
                <w:color w:val="000000"/>
                <w:sz w:val="22"/>
                <w:szCs w:val="22"/>
              </w:rPr>
              <w:t>485.21</w:t>
            </w:r>
            <w:r w:rsidR="00690AB8">
              <w:rPr>
                <w:rFonts w:ascii="Verdana" w:hAnsi="Verdana"/>
                <w:color w:val="000000"/>
                <w:sz w:val="22"/>
                <w:szCs w:val="22"/>
              </w:rPr>
              <w:t xml:space="preserve"> each </w:t>
            </w:r>
            <w:r w:rsidR="006C19CA">
              <w:rPr>
                <w:rFonts w:ascii="Verdana" w:hAnsi="Verdana"/>
                <w:color w:val="000000"/>
                <w:sz w:val="22"/>
                <w:szCs w:val="22"/>
              </w:rPr>
              <w:t>for 13 weeks</w:t>
            </w:r>
          </w:p>
        </w:tc>
        <w:tc>
          <w:tcPr>
            <w:tcW w:w="1818" w:type="dxa"/>
            <w:shd w:val="clear" w:color="auto" w:fill="auto"/>
            <w:noWrap/>
            <w:vAlign w:val="bottom"/>
            <w:hideMark/>
          </w:tcPr>
          <w:p w:rsidR="00615322" w:rsidRPr="00615322" w:rsidRDefault="00A12178" w:rsidP="004F1983">
            <w:pPr>
              <w:jc w:val="right"/>
              <w:rPr>
                <w:rFonts w:ascii="Verdana" w:hAnsi="Verdana"/>
                <w:color w:val="000000"/>
                <w:sz w:val="22"/>
                <w:szCs w:val="22"/>
              </w:rPr>
            </w:pPr>
            <w:r>
              <w:rPr>
                <w:rFonts w:ascii="Verdana" w:hAnsi="Verdana"/>
                <w:color w:val="000000"/>
                <w:sz w:val="22"/>
                <w:szCs w:val="22"/>
              </w:rPr>
              <w:t xml:space="preserve"> </w:t>
            </w:r>
            <w:r w:rsidR="00615322">
              <w:rPr>
                <w:rFonts w:ascii="Verdana" w:hAnsi="Verdana"/>
                <w:color w:val="000000"/>
                <w:sz w:val="22"/>
                <w:szCs w:val="22"/>
              </w:rPr>
              <w:t>$</w:t>
            </w:r>
            <w:r w:rsidR="00963F92">
              <w:rPr>
                <w:rFonts w:ascii="Verdana" w:hAnsi="Verdana"/>
                <w:color w:val="000000"/>
                <w:sz w:val="22"/>
                <w:szCs w:val="22"/>
              </w:rPr>
              <w:t>1</w:t>
            </w:r>
            <w:r>
              <w:rPr>
                <w:rFonts w:ascii="Verdana" w:hAnsi="Verdana"/>
                <w:color w:val="000000"/>
                <w:sz w:val="22"/>
                <w:szCs w:val="22"/>
              </w:rPr>
              <w:t>7,940.83</w:t>
            </w:r>
          </w:p>
        </w:tc>
      </w:tr>
      <w:tr w:rsidR="00615322" w:rsidRPr="00615322" w:rsidTr="004F1983">
        <w:trPr>
          <w:trHeight w:val="300"/>
        </w:trPr>
        <w:tc>
          <w:tcPr>
            <w:tcW w:w="7578" w:type="dxa"/>
            <w:shd w:val="clear" w:color="auto" w:fill="auto"/>
            <w:noWrap/>
            <w:vAlign w:val="bottom"/>
            <w:hideMark/>
          </w:tcPr>
          <w:p w:rsidR="00615322" w:rsidRPr="00615322" w:rsidRDefault="00615322" w:rsidP="004F1983">
            <w:pPr>
              <w:rPr>
                <w:rFonts w:ascii="Verdana" w:hAnsi="Verdana"/>
                <w:color w:val="000000"/>
                <w:sz w:val="22"/>
                <w:szCs w:val="22"/>
              </w:rPr>
            </w:pPr>
            <w:r w:rsidRPr="00615322">
              <w:rPr>
                <w:rFonts w:ascii="Verdana" w:hAnsi="Verdana"/>
                <w:color w:val="000000"/>
                <w:sz w:val="22"/>
                <w:szCs w:val="22"/>
              </w:rPr>
              <w:t xml:space="preserve">2  Center clerks </w:t>
            </w:r>
            <w:r w:rsidR="00690AB8">
              <w:rPr>
                <w:rFonts w:ascii="Verdana" w:hAnsi="Verdana"/>
                <w:color w:val="000000"/>
                <w:sz w:val="22"/>
                <w:szCs w:val="22"/>
              </w:rPr>
              <w:t>($</w:t>
            </w:r>
            <w:r w:rsidR="00690AB8" w:rsidRPr="00615322">
              <w:rPr>
                <w:rFonts w:ascii="Verdana" w:hAnsi="Verdana"/>
                <w:color w:val="000000"/>
                <w:sz w:val="22"/>
                <w:szCs w:val="22"/>
              </w:rPr>
              <w:t>17,</w:t>
            </w:r>
            <w:r w:rsidR="00091FD2">
              <w:rPr>
                <w:rFonts w:ascii="Verdana" w:hAnsi="Verdana"/>
                <w:color w:val="000000"/>
                <w:sz w:val="22"/>
                <w:szCs w:val="22"/>
              </w:rPr>
              <w:t>940.83</w:t>
            </w:r>
            <w:r w:rsidR="00690AB8">
              <w:rPr>
                <w:rFonts w:ascii="Verdana" w:hAnsi="Verdana"/>
                <w:color w:val="000000"/>
                <w:sz w:val="22"/>
                <w:szCs w:val="22"/>
              </w:rPr>
              <w:t xml:space="preserve"> per year)</w:t>
            </w:r>
            <w:r w:rsidRPr="00615322">
              <w:rPr>
                <w:rFonts w:ascii="Verdana" w:hAnsi="Verdana"/>
                <w:color w:val="000000"/>
                <w:sz w:val="22"/>
                <w:szCs w:val="22"/>
              </w:rPr>
              <w:t xml:space="preserve"> </w:t>
            </w:r>
            <w:r>
              <w:rPr>
                <w:rFonts w:ascii="Verdana" w:hAnsi="Verdana"/>
                <w:color w:val="000000"/>
                <w:sz w:val="22"/>
                <w:szCs w:val="22"/>
              </w:rPr>
              <w:t>@</w:t>
            </w:r>
            <w:r w:rsidRPr="00615322">
              <w:rPr>
                <w:rFonts w:ascii="Verdana" w:hAnsi="Verdana"/>
                <w:color w:val="000000"/>
                <w:sz w:val="22"/>
                <w:szCs w:val="22"/>
              </w:rPr>
              <w:t xml:space="preserve"> </w:t>
            </w:r>
            <w:r w:rsidR="00091FD2">
              <w:rPr>
                <w:rFonts w:ascii="Verdana" w:hAnsi="Verdana"/>
                <w:color w:val="000000"/>
                <w:sz w:val="22"/>
                <w:szCs w:val="22"/>
              </w:rPr>
              <w:t>$4,485.21</w:t>
            </w:r>
            <w:r w:rsidR="00690AB8">
              <w:rPr>
                <w:rFonts w:ascii="Verdana" w:hAnsi="Verdana"/>
                <w:color w:val="000000"/>
                <w:sz w:val="22"/>
                <w:szCs w:val="22"/>
              </w:rPr>
              <w:t xml:space="preserve"> each for </w:t>
            </w:r>
            <w:r w:rsidR="006C19CA">
              <w:rPr>
                <w:rFonts w:ascii="Verdana" w:hAnsi="Verdana"/>
                <w:color w:val="000000"/>
                <w:sz w:val="22"/>
                <w:szCs w:val="22"/>
              </w:rPr>
              <w:t>13 weeks</w:t>
            </w:r>
          </w:p>
        </w:tc>
        <w:tc>
          <w:tcPr>
            <w:tcW w:w="1818" w:type="dxa"/>
            <w:shd w:val="clear" w:color="auto" w:fill="auto"/>
            <w:noWrap/>
            <w:vAlign w:val="bottom"/>
            <w:hideMark/>
          </w:tcPr>
          <w:p w:rsidR="00615322" w:rsidRPr="00615322" w:rsidRDefault="00963F92" w:rsidP="004F1983">
            <w:pPr>
              <w:jc w:val="right"/>
              <w:rPr>
                <w:rFonts w:ascii="Verdana" w:hAnsi="Verdana"/>
                <w:color w:val="000000"/>
                <w:sz w:val="22"/>
                <w:szCs w:val="22"/>
              </w:rPr>
            </w:pPr>
            <w:r>
              <w:rPr>
                <w:rFonts w:ascii="Verdana" w:hAnsi="Verdana"/>
                <w:color w:val="000000"/>
                <w:sz w:val="22"/>
                <w:szCs w:val="22"/>
              </w:rPr>
              <w:t xml:space="preserve">  </w:t>
            </w:r>
            <w:r w:rsidR="00A12178">
              <w:rPr>
                <w:rFonts w:ascii="Verdana" w:hAnsi="Verdana"/>
                <w:color w:val="000000"/>
                <w:sz w:val="22"/>
                <w:szCs w:val="22"/>
              </w:rPr>
              <w:t xml:space="preserve"> </w:t>
            </w:r>
            <w:r w:rsidR="00615322">
              <w:rPr>
                <w:rFonts w:ascii="Verdana" w:hAnsi="Verdana"/>
                <w:color w:val="000000"/>
                <w:sz w:val="22"/>
                <w:szCs w:val="22"/>
              </w:rPr>
              <w:t>$</w:t>
            </w:r>
            <w:r>
              <w:rPr>
                <w:rFonts w:ascii="Verdana" w:hAnsi="Verdana"/>
                <w:color w:val="000000"/>
                <w:sz w:val="22"/>
                <w:szCs w:val="22"/>
              </w:rPr>
              <w:t>8,</w:t>
            </w:r>
            <w:r w:rsidR="00A12178">
              <w:rPr>
                <w:rFonts w:ascii="Verdana" w:hAnsi="Verdana"/>
                <w:color w:val="000000"/>
                <w:sz w:val="22"/>
                <w:szCs w:val="22"/>
              </w:rPr>
              <w:t>970.42</w:t>
            </w:r>
          </w:p>
        </w:tc>
      </w:tr>
      <w:tr w:rsidR="00615322" w:rsidRPr="00615322" w:rsidTr="004F1983">
        <w:trPr>
          <w:trHeight w:val="300"/>
        </w:trPr>
        <w:tc>
          <w:tcPr>
            <w:tcW w:w="7578" w:type="dxa"/>
            <w:shd w:val="clear" w:color="auto" w:fill="auto"/>
            <w:noWrap/>
            <w:vAlign w:val="bottom"/>
            <w:hideMark/>
          </w:tcPr>
          <w:p w:rsidR="00615322" w:rsidRPr="00615322" w:rsidRDefault="00615322" w:rsidP="00466E65">
            <w:pPr>
              <w:rPr>
                <w:rFonts w:ascii="Verdana" w:hAnsi="Verdana"/>
                <w:b/>
                <w:color w:val="000000"/>
                <w:sz w:val="22"/>
                <w:szCs w:val="22"/>
              </w:rPr>
            </w:pPr>
            <w:r w:rsidRPr="00615322">
              <w:rPr>
                <w:rFonts w:ascii="Verdana" w:hAnsi="Verdana"/>
                <w:b/>
                <w:color w:val="000000"/>
                <w:sz w:val="22"/>
                <w:szCs w:val="22"/>
              </w:rPr>
              <w:t>Total Personnel (6</w:t>
            </w:r>
            <w:r w:rsidR="00466E65">
              <w:rPr>
                <w:rFonts w:ascii="Verdana" w:hAnsi="Verdana"/>
                <w:b/>
                <w:color w:val="000000"/>
                <w:sz w:val="22"/>
                <w:szCs w:val="22"/>
              </w:rPr>
              <w:t>.</w:t>
            </w:r>
            <w:r w:rsidRPr="00615322">
              <w:rPr>
                <w:rFonts w:ascii="Verdana" w:hAnsi="Verdana"/>
                <w:b/>
                <w:color w:val="000000"/>
                <w:sz w:val="22"/>
                <w:szCs w:val="22"/>
              </w:rPr>
              <w:t>a)</w:t>
            </w:r>
          </w:p>
        </w:tc>
        <w:tc>
          <w:tcPr>
            <w:tcW w:w="1818" w:type="dxa"/>
            <w:shd w:val="clear" w:color="auto" w:fill="auto"/>
            <w:noWrap/>
            <w:vAlign w:val="bottom"/>
            <w:hideMark/>
          </w:tcPr>
          <w:p w:rsidR="00615322" w:rsidRPr="00615322" w:rsidRDefault="00615322" w:rsidP="004F1983">
            <w:pPr>
              <w:jc w:val="right"/>
              <w:rPr>
                <w:rFonts w:ascii="Verdana" w:hAnsi="Verdana"/>
                <w:b/>
                <w:color w:val="000000"/>
                <w:sz w:val="22"/>
                <w:szCs w:val="22"/>
              </w:rPr>
            </w:pPr>
            <w:r w:rsidRPr="00615322">
              <w:rPr>
                <w:rFonts w:ascii="Verdana" w:hAnsi="Verdana"/>
                <w:b/>
                <w:color w:val="000000"/>
                <w:sz w:val="22"/>
                <w:szCs w:val="22"/>
              </w:rPr>
              <w:t>$</w:t>
            </w:r>
            <w:r w:rsidR="00963F92">
              <w:rPr>
                <w:rFonts w:ascii="Verdana" w:hAnsi="Verdana"/>
                <w:b/>
                <w:color w:val="000000"/>
                <w:sz w:val="22"/>
                <w:szCs w:val="22"/>
              </w:rPr>
              <w:t>13</w:t>
            </w:r>
            <w:r w:rsidR="007F4670">
              <w:rPr>
                <w:rFonts w:ascii="Verdana" w:hAnsi="Verdana"/>
                <w:b/>
                <w:color w:val="000000"/>
                <w:sz w:val="22"/>
                <w:szCs w:val="22"/>
              </w:rPr>
              <w:t>1,788.44</w:t>
            </w:r>
          </w:p>
        </w:tc>
      </w:tr>
    </w:tbl>
    <w:p w:rsidR="00615322" w:rsidRDefault="00615322" w:rsidP="00615322">
      <w:pPr>
        <w:jc w:val="both"/>
        <w:rPr>
          <w:rFonts w:ascii="Arial Narrow" w:hAnsi="Arial Narrow"/>
        </w:rPr>
      </w:pPr>
    </w:p>
    <w:p w:rsidR="00615322" w:rsidRDefault="00615322" w:rsidP="00615322">
      <w:pPr>
        <w:jc w:val="both"/>
        <w:rPr>
          <w:rFonts w:ascii="Arial Narrow" w:hAnsi="Arial Narrow"/>
        </w:rPr>
      </w:pPr>
    </w:p>
    <w:p w:rsidR="00615322" w:rsidRDefault="00615322" w:rsidP="00615322">
      <w:pPr>
        <w:jc w:val="both"/>
        <w:rPr>
          <w:b/>
          <w:sz w:val="28"/>
          <w:szCs w:val="28"/>
        </w:rPr>
      </w:pPr>
    </w:p>
    <w:p w:rsidR="00615322" w:rsidRDefault="00615322" w:rsidP="00615322">
      <w:pPr>
        <w:jc w:val="both"/>
        <w:rPr>
          <w:b/>
          <w:sz w:val="28"/>
          <w:szCs w:val="28"/>
        </w:rPr>
      </w:pPr>
    </w:p>
    <w:p w:rsidR="00615322" w:rsidRPr="00CC6D65" w:rsidRDefault="00615322" w:rsidP="00615322">
      <w:pPr>
        <w:pBdr>
          <w:top w:val="single" w:sz="4" w:space="1" w:color="auto" w:shadow="1"/>
          <w:left w:val="single" w:sz="4" w:space="4" w:color="auto" w:shadow="1"/>
          <w:bottom w:val="single" w:sz="4" w:space="1" w:color="auto" w:shadow="1"/>
          <w:right w:val="single" w:sz="4" w:space="4" w:color="auto" w:shadow="1"/>
        </w:pBdr>
        <w:jc w:val="both"/>
        <w:rPr>
          <w:rFonts w:ascii="Verdana" w:hAnsi="Verdana"/>
          <w:b/>
          <w:sz w:val="22"/>
          <w:szCs w:val="22"/>
        </w:rPr>
      </w:pPr>
      <w:r w:rsidRPr="00CC6D65">
        <w:rPr>
          <w:rFonts w:ascii="Verdana" w:hAnsi="Verdana"/>
          <w:b/>
          <w:sz w:val="22"/>
          <w:szCs w:val="22"/>
        </w:rPr>
        <w:t>Fringe Benefits (object class category 6.b)</w:t>
      </w:r>
    </w:p>
    <w:p w:rsidR="00615322" w:rsidRDefault="00615322" w:rsidP="00615322">
      <w:pPr>
        <w:jc w:val="both"/>
        <w:rPr>
          <w:sz w:val="28"/>
          <w:szCs w:val="28"/>
        </w:rPr>
      </w:pPr>
    </w:p>
    <w:p w:rsidR="000D786C" w:rsidRDefault="000D786C" w:rsidP="00615322">
      <w:pPr>
        <w:jc w:val="both"/>
        <w:rPr>
          <w:sz w:val="28"/>
          <w:szCs w:val="28"/>
        </w:rPr>
      </w:pPr>
    </w:p>
    <w:p w:rsidR="00615322" w:rsidRPr="00AE5C9C" w:rsidRDefault="00615322" w:rsidP="00615322">
      <w:pPr>
        <w:jc w:val="both"/>
        <w:rPr>
          <w:rFonts w:ascii="Verdana" w:hAnsi="Verdana"/>
          <w:sz w:val="22"/>
          <w:szCs w:val="22"/>
        </w:rPr>
      </w:pPr>
      <w:r w:rsidRPr="00AE5C9C">
        <w:rPr>
          <w:rFonts w:ascii="Verdana" w:hAnsi="Verdana"/>
          <w:sz w:val="22"/>
          <w:szCs w:val="22"/>
        </w:rPr>
        <w:t>In addition to adequate salaries the Hidalgo County Head Start staff receives a fringe benefit plan that is reasonable and conforms to</w:t>
      </w:r>
      <w:r w:rsidRPr="00AE5C9C">
        <w:rPr>
          <w:rFonts w:ascii="Verdana" w:hAnsi="Verdana"/>
          <w:color w:val="404040"/>
          <w:sz w:val="22"/>
          <w:szCs w:val="22"/>
        </w:rPr>
        <w:t xml:space="preserve"> </w:t>
      </w:r>
      <w:r w:rsidRPr="00AE5C9C">
        <w:rPr>
          <w:rFonts w:ascii="Verdana" w:hAnsi="Verdana"/>
          <w:sz w:val="22"/>
          <w:szCs w:val="22"/>
        </w:rPr>
        <w:t>2 CFR Part 225 Appendix B</w:t>
      </w:r>
      <w:r w:rsidRPr="00AE5C9C">
        <w:rPr>
          <w:rFonts w:ascii="Verdana" w:hAnsi="Verdana"/>
          <w:color w:val="404040"/>
          <w:sz w:val="22"/>
          <w:szCs w:val="22"/>
        </w:rPr>
        <w:t xml:space="preserve"> </w:t>
      </w:r>
      <w:r w:rsidRPr="00AE5C9C">
        <w:rPr>
          <w:rFonts w:ascii="Verdana" w:hAnsi="Verdana"/>
          <w:sz w:val="22"/>
          <w:szCs w:val="22"/>
        </w:rPr>
        <w:t>Cost Principles for State, Local, and Indian Tribal Governments (OMB Circular A-87). </w:t>
      </w:r>
    </w:p>
    <w:p w:rsidR="00615322" w:rsidRPr="00AE5C9C" w:rsidRDefault="00615322" w:rsidP="00615322">
      <w:pPr>
        <w:jc w:val="both"/>
        <w:rPr>
          <w:rFonts w:ascii="Verdana" w:hAnsi="Verdana"/>
          <w:sz w:val="22"/>
          <w:szCs w:val="22"/>
        </w:rPr>
      </w:pPr>
    </w:p>
    <w:p w:rsidR="00615322" w:rsidRPr="00AE5C9C" w:rsidRDefault="00615322" w:rsidP="00615322">
      <w:pPr>
        <w:jc w:val="both"/>
        <w:rPr>
          <w:rFonts w:ascii="Verdana" w:hAnsi="Verdana"/>
          <w:sz w:val="22"/>
          <w:szCs w:val="22"/>
        </w:rPr>
      </w:pPr>
      <w:r w:rsidRPr="00AE5C9C">
        <w:rPr>
          <w:rFonts w:ascii="Verdana" w:hAnsi="Verdana"/>
          <w:sz w:val="22"/>
          <w:szCs w:val="22"/>
        </w:rPr>
        <w:t>The fringe benefits costs included in this expansion application are as follow</w:t>
      </w:r>
      <w:r w:rsidR="00FE7C6F" w:rsidRPr="00AE5C9C">
        <w:rPr>
          <w:rFonts w:ascii="Verdana" w:hAnsi="Verdana"/>
          <w:sz w:val="22"/>
          <w:szCs w:val="22"/>
        </w:rPr>
        <w:t>s:</w:t>
      </w:r>
      <w:r w:rsidRPr="00AE5C9C">
        <w:rPr>
          <w:rFonts w:ascii="Verdana" w:hAnsi="Verdana"/>
          <w:sz w:val="22"/>
          <w:szCs w:val="22"/>
        </w:rPr>
        <w:t xml:space="preserve"> </w:t>
      </w:r>
    </w:p>
    <w:p w:rsidR="00615322" w:rsidRPr="00AE5C9C" w:rsidRDefault="00615322" w:rsidP="00615322">
      <w:pPr>
        <w:jc w:val="both"/>
        <w:rPr>
          <w:rFonts w:ascii="Verdana" w:hAnsi="Verdana"/>
          <w:sz w:val="22"/>
          <w:szCs w:val="22"/>
        </w:rPr>
      </w:pPr>
    </w:p>
    <w:p w:rsidR="009618E2" w:rsidRDefault="009618E2" w:rsidP="00615322">
      <w:pPr>
        <w:jc w:val="both"/>
        <w:rPr>
          <w:rFonts w:ascii="Arial Narrow" w:hAnsi="Arial Narrow"/>
        </w:rPr>
      </w:pPr>
      <w:r>
        <w:rPr>
          <w:rFonts w:ascii="Arial Narrow" w:hAnsi="Arial Narrow"/>
        </w:rPr>
        <w:tab/>
      </w:r>
      <w:r>
        <w:rPr>
          <w:rFonts w:ascii="Arial Narrow" w:hAnsi="Arial Narrow"/>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00"/>
      </w:tblGrid>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b/>
                <w:color w:val="000000"/>
                <w:sz w:val="22"/>
                <w:szCs w:val="22"/>
              </w:rPr>
            </w:pPr>
            <w:r w:rsidRPr="009618E2">
              <w:rPr>
                <w:rFonts w:ascii="Verdana" w:hAnsi="Verdana"/>
                <w:b/>
                <w:color w:val="000000"/>
                <w:sz w:val="22"/>
                <w:szCs w:val="22"/>
              </w:rPr>
              <w:t>Fringe Benefit</w:t>
            </w:r>
            <w:r w:rsidR="00466E65">
              <w:rPr>
                <w:rFonts w:ascii="Verdana" w:hAnsi="Verdana"/>
                <w:b/>
                <w:color w:val="000000"/>
                <w:sz w:val="22"/>
                <w:szCs w:val="22"/>
              </w:rPr>
              <w:t>s</w:t>
            </w:r>
          </w:p>
        </w:tc>
        <w:tc>
          <w:tcPr>
            <w:tcW w:w="4500" w:type="dxa"/>
            <w:shd w:val="clear" w:color="auto" w:fill="auto"/>
            <w:noWrap/>
            <w:vAlign w:val="bottom"/>
            <w:hideMark/>
          </w:tcPr>
          <w:p w:rsidR="009618E2" w:rsidRPr="009618E2" w:rsidRDefault="009618E2" w:rsidP="009618E2">
            <w:pPr>
              <w:jc w:val="right"/>
              <w:rPr>
                <w:rFonts w:ascii="Verdana" w:hAnsi="Verdana"/>
                <w:b/>
                <w:color w:val="000000"/>
                <w:sz w:val="22"/>
                <w:szCs w:val="22"/>
              </w:rPr>
            </w:pPr>
            <w:r w:rsidRPr="009618E2">
              <w:rPr>
                <w:rFonts w:ascii="Verdana" w:hAnsi="Verdana"/>
                <w:b/>
                <w:color w:val="000000"/>
                <w:sz w:val="22"/>
                <w:szCs w:val="22"/>
              </w:rPr>
              <w:t>Amount</w:t>
            </w:r>
          </w:p>
        </w:tc>
      </w:tr>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color w:val="000000"/>
                <w:sz w:val="22"/>
                <w:szCs w:val="22"/>
              </w:rPr>
            </w:pPr>
            <w:r w:rsidRPr="009618E2">
              <w:rPr>
                <w:rFonts w:ascii="Verdana" w:hAnsi="Verdana"/>
                <w:color w:val="000000"/>
                <w:sz w:val="22"/>
                <w:szCs w:val="22"/>
              </w:rPr>
              <w:t>FICA</w:t>
            </w:r>
          </w:p>
        </w:tc>
        <w:tc>
          <w:tcPr>
            <w:tcW w:w="4500" w:type="dxa"/>
            <w:shd w:val="clear" w:color="auto" w:fill="auto"/>
            <w:noWrap/>
            <w:vAlign w:val="bottom"/>
            <w:hideMark/>
          </w:tcPr>
          <w:p w:rsidR="009618E2" w:rsidRPr="009618E2" w:rsidRDefault="007F4670" w:rsidP="00760A6B">
            <w:pPr>
              <w:jc w:val="right"/>
              <w:rPr>
                <w:rFonts w:ascii="Verdana" w:hAnsi="Verdana"/>
                <w:color w:val="000000"/>
                <w:sz w:val="22"/>
                <w:szCs w:val="22"/>
              </w:rPr>
            </w:pPr>
            <w:r>
              <w:rPr>
                <w:rFonts w:ascii="Verdana" w:hAnsi="Verdana"/>
                <w:color w:val="000000"/>
                <w:sz w:val="22"/>
                <w:szCs w:val="22"/>
              </w:rPr>
              <w:t>$8,170.88</w:t>
            </w:r>
          </w:p>
        </w:tc>
      </w:tr>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color w:val="000000"/>
                <w:sz w:val="22"/>
                <w:szCs w:val="22"/>
              </w:rPr>
            </w:pPr>
            <w:r w:rsidRPr="009618E2">
              <w:rPr>
                <w:rFonts w:ascii="Verdana" w:hAnsi="Verdana"/>
                <w:color w:val="000000"/>
                <w:sz w:val="22"/>
                <w:szCs w:val="22"/>
              </w:rPr>
              <w:t>Unemployment</w:t>
            </w:r>
          </w:p>
        </w:tc>
        <w:tc>
          <w:tcPr>
            <w:tcW w:w="4500" w:type="dxa"/>
            <w:shd w:val="clear" w:color="auto" w:fill="auto"/>
            <w:noWrap/>
            <w:vAlign w:val="bottom"/>
            <w:hideMark/>
          </w:tcPr>
          <w:p w:rsidR="009618E2" w:rsidRPr="009618E2" w:rsidRDefault="00005003" w:rsidP="00760A6B">
            <w:pPr>
              <w:jc w:val="right"/>
              <w:rPr>
                <w:rFonts w:ascii="Verdana" w:hAnsi="Verdana"/>
                <w:color w:val="000000"/>
                <w:sz w:val="22"/>
                <w:szCs w:val="22"/>
              </w:rPr>
            </w:pPr>
            <w:r>
              <w:rPr>
                <w:rFonts w:ascii="Verdana" w:hAnsi="Verdana"/>
                <w:color w:val="000000"/>
                <w:sz w:val="22"/>
                <w:szCs w:val="22"/>
              </w:rPr>
              <w:t>$8</w:t>
            </w:r>
            <w:r w:rsidR="007F4670">
              <w:rPr>
                <w:rFonts w:ascii="Verdana" w:hAnsi="Verdana"/>
                <w:color w:val="000000"/>
                <w:sz w:val="22"/>
                <w:szCs w:val="22"/>
              </w:rPr>
              <w:t>43</w:t>
            </w:r>
            <w:r>
              <w:rPr>
                <w:rFonts w:ascii="Verdana" w:hAnsi="Verdana"/>
                <w:color w:val="000000"/>
                <w:sz w:val="22"/>
                <w:szCs w:val="22"/>
              </w:rPr>
              <w:t>.</w:t>
            </w:r>
            <w:r w:rsidR="007F4670">
              <w:rPr>
                <w:rFonts w:ascii="Verdana" w:hAnsi="Verdana"/>
                <w:color w:val="000000"/>
                <w:sz w:val="22"/>
                <w:szCs w:val="22"/>
              </w:rPr>
              <w:t>45</w:t>
            </w:r>
          </w:p>
        </w:tc>
      </w:tr>
      <w:tr w:rsidR="009618E2" w:rsidRPr="009618E2" w:rsidTr="004F1983">
        <w:trPr>
          <w:trHeight w:val="300"/>
        </w:trPr>
        <w:tc>
          <w:tcPr>
            <w:tcW w:w="4680" w:type="dxa"/>
            <w:shd w:val="clear" w:color="auto" w:fill="auto"/>
            <w:noWrap/>
            <w:vAlign w:val="bottom"/>
            <w:hideMark/>
          </w:tcPr>
          <w:p w:rsidR="009618E2" w:rsidRPr="009618E2" w:rsidRDefault="00A01275" w:rsidP="009618E2">
            <w:pPr>
              <w:rPr>
                <w:rFonts w:ascii="Verdana" w:hAnsi="Verdana"/>
                <w:color w:val="000000"/>
                <w:sz w:val="22"/>
                <w:szCs w:val="22"/>
              </w:rPr>
            </w:pPr>
            <w:r>
              <w:rPr>
                <w:rFonts w:ascii="Verdana" w:hAnsi="Verdana"/>
                <w:color w:val="000000"/>
                <w:sz w:val="22"/>
                <w:szCs w:val="22"/>
              </w:rPr>
              <w:t>Worker’s Comp</w:t>
            </w:r>
          </w:p>
        </w:tc>
        <w:tc>
          <w:tcPr>
            <w:tcW w:w="4500" w:type="dxa"/>
            <w:shd w:val="clear" w:color="auto" w:fill="auto"/>
            <w:noWrap/>
            <w:vAlign w:val="bottom"/>
            <w:hideMark/>
          </w:tcPr>
          <w:p w:rsidR="009618E2" w:rsidRPr="009618E2" w:rsidRDefault="00A01275" w:rsidP="00760A6B">
            <w:pPr>
              <w:jc w:val="right"/>
              <w:rPr>
                <w:rFonts w:ascii="Verdana" w:hAnsi="Verdana"/>
                <w:color w:val="000000"/>
                <w:sz w:val="22"/>
                <w:szCs w:val="22"/>
              </w:rPr>
            </w:pPr>
            <w:r>
              <w:rPr>
                <w:rFonts w:ascii="Verdana" w:hAnsi="Verdana"/>
                <w:color w:val="000000"/>
                <w:sz w:val="22"/>
                <w:szCs w:val="22"/>
              </w:rPr>
              <w:t>0</w:t>
            </w:r>
          </w:p>
        </w:tc>
      </w:tr>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color w:val="000000"/>
                <w:sz w:val="22"/>
                <w:szCs w:val="22"/>
              </w:rPr>
            </w:pPr>
            <w:r w:rsidRPr="009618E2">
              <w:rPr>
                <w:rFonts w:ascii="Verdana" w:hAnsi="Verdana"/>
                <w:color w:val="000000"/>
                <w:sz w:val="22"/>
                <w:szCs w:val="22"/>
              </w:rPr>
              <w:t>Pension</w:t>
            </w:r>
          </w:p>
        </w:tc>
        <w:tc>
          <w:tcPr>
            <w:tcW w:w="4500" w:type="dxa"/>
            <w:shd w:val="clear" w:color="auto" w:fill="auto"/>
            <w:noWrap/>
            <w:vAlign w:val="bottom"/>
            <w:hideMark/>
          </w:tcPr>
          <w:p w:rsidR="009618E2" w:rsidRPr="009618E2" w:rsidRDefault="00A01275" w:rsidP="00760A6B">
            <w:pPr>
              <w:jc w:val="right"/>
              <w:rPr>
                <w:rFonts w:ascii="Verdana" w:hAnsi="Verdana"/>
                <w:color w:val="000000"/>
                <w:sz w:val="22"/>
                <w:szCs w:val="22"/>
              </w:rPr>
            </w:pPr>
            <w:r>
              <w:rPr>
                <w:rFonts w:ascii="Verdana" w:hAnsi="Verdana"/>
                <w:color w:val="000000"/>
                <w:sz w:val="22"/>
                <w:szCs w:val="22"/>
              </w:rPr>
              <w:t>$9,225.19</w:t>
            </w:r>
          </w:p>
        </w:tc>
      </w:tr>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color w:val="000000"/>
                <w:sz w:val="22"/>
                <w:szCs w:val="22"/>
              </w:rPr>
            </w:pPr>
            <w:r w:rsidRPr="009618E2">
              <w:rPr>
                <w:rFonts w:ascii="Verdana" w:hAnsi="Verdana"/>
                <w:color w:val="000000"/>
                <w:sz w:val="22"/>
                <w:szCs w:val="22"/>
              </w:rPr>
              <w:t>Medicare</w:t>
            </w:r>
          </w:p>
        </w:tc>
        <w:tc>
          <w:tcPr>
            <w:tcW w:w="4500" w:type="dxa"/>
            <w:shd w:val="clear" w:color="auto" w:fill="auto"/>
            <w:noWrap/>
            <w:vAlign w:val="bottom"/>
            <w:hideMark/>
          </w:tcPr>
          <w:p w:rsidR="009618E2" w:rsidRPr="009618E2" w:rsidRDefault="00A01275" w:rsidP="00A01275">
            <w:pPr>
              <w:jc w:val="right"/>
              <w:rPr>
                <w:rFonts w:ascii="Verdana" w:hAnsi="Verdana"/>
                <w:color w:val="000000"/>
                <w:sz w:val="22"/>
                <w:szCs w:val="22"/>
              </w:rPr>
            </w:pPr>
            <w:r>
              <w:rPr>
                <w:rFonts w:ascii="Verdana" w:hAnsi="Verdana"/>
                <w:color w:val="000000"/>
                <w:sz w:val="22"/>
                <w:szCs w:val="22"/>
              </w:rPr>
              <w:t>$1,910.93</w:t>
            </w:r>
          </w:p>
        </w:tc>
      </w:tr>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color w:val="000000"/>
                <w:sz w:val="22"/>
                <w:szCs w:val="22"/>
              </w:rPr>
            </w:pPr>
            <w:r w:rsidRPr="009618E2">
              <w:rPr>
                <w:rFonts w:ascii="Verdana" w:hAnsi="Verdana"/>
                <w:color w:val="000000"/>
                <w:sz w:val="22"/>
                <w:szCs w:val="22"/>
              </w:rPr>
              <w:t>Life</w:t>
            </w:r>
          </w:p>
        </w:tc>
        <w:tc>
          <w:tcPr>
            <w:tcW w:w="4500" w:type="dxa"/>
            <w:shd w:val="clear" w:color="auto" w:fill="auto"/>
            <w:noWrap/>
            <w:vAlign w:val="bottom"/>
            <w:hideMark/>
          </w:tcPr>
          <w:p w:rsidR="009618E2" w:rsidRPr="009618E2" w:rsidRDefault="00A01275" w:rsidP="006D1B46">
            <w:pPr>
              <w:jc w:val="right"/>
              <w:rPr>
                <w:rFonts w:ascii="Verdana" w:hAnsi="Verdana"/>
                <w:color w:val="000000"/>
                <w:sz w:val="22"/>
                <w:szCs w:val="22"/>
              </w:rPr>
            </w:pPr>
            <w:r>
              <w:rPr>
                <w:rFonts w:ascii="Verdana" w:hAnsi="Verdana"/>
                <w:color w:val="000000"/>
                <w:sz w:val="22"/>
                <w:szCs w:val="22"/>
              </w:rPr>
              <w:t>$190.13</w:t>
            </w:r>
          </w:p>
        </w:tc>
      </w:tr>
      <w:tr w:rsidR="009618E2" w:rsidRPr="009618E2" w:rsidTr="004F1983">
        <w:trPr>
          <w:trHeight w:val="300"/>
        </w:trPr>
        <w:tc>
          <w:tcPr>
            <w:tcW w:w="4680" w:type="dxa"/>
            <w:shd w:val="clear" w:color="auto" w:fill="auto"/>
            <w:noWrap/>
            <w:vAlign w:val="bottom"/>
            <w:hideMark/>
          </w:tcPr>
          <w:p w:rsidR="009618E2" w:rsidRPr="009618E2" w:rsidRDefault="009618E2" w:rsidP="009618E2">
            <w:pPr>
              <w:rPr>
                <w:rFonts w:ascii="Verdana" w:hAnsi="Verdana"/>
                <w:color w:val="000000"/>
                <w:sz w:val="22"/>
                <w:szCs w:val="22"/>
              </w:rPr>
            </w:pPr>
            <w:r w:rsidRPr="009618E2">
              <w:rPr>
                <w:rFonts w:ascii="Verdana" w:hAnsi="Verdana"/>
                <w:color w:val="000000"/>
                <w:sz w:val="22"/>
                <w:szCs w:val="22"/>
              </w:rPr>
              <w:t xml:space="preserve">Health </w:t>
            </w:r>
          </w:p>
        </w:tc>
        <w:tc>
          <w:tcPr>
            <w:tcW w:w="4500" w:type="dxa"/>
            <w:shd w:val="clear" w:color="auto" w:fill="auto"/>
            <w:noWrap/>
            <w:vAlign w:val="bottom"/>
            <w:hideMark/>
          </w:tcPr>
          <w:p w:rsidR="009618E2" w:rsidRPr="009618E2" w:rsidRDefault="00A01275" w:rsidP="00760A6B">
            <w:pPr>
              <w:jc w:val="right"/>
              <w:rPr>
                <w:rFonts w:ascii="Verdana" w:hAnsi="Verdana"/>
                <w:color w:val="000000"/>
                <w:sz w:val="22"/>
                <w:szCs w:val="22"/>
              </w:rPr>
            </w:pPr>
            <w:r>
              <w:rPr>
                <w:rFonts w:ascii="Verdana" w:hAnsi="Verdana"/>
                <w:color w:val="000000"/>
                <w:sz w:val="22"/>
                <w:szCs w:val="22"/>
              </w:rPr>
              <w:t>$29,321.50</w:t>
            </w:r>
          </w:p>
        </w:tc>
      </w:tr>
      <w:tr w:rsidR="009618E2" w:rsidRPr="009618E2" w:rsidTr="004F1983">
        <w:trPr>
          <w:trHeight w:val="300"/>
        </w:trPr>
        <w:tc>
          <w:tcPr>
            <w:tcW w:w="4680" w:type="dxa"/>
            <w:shd w:val="clear" w:color="auto" w:fill="auto"/>
            <w:noWrap/>
            <w:vAlign w:val="bottom"/>
            <w:hideMark/>
          </w:tcPr>
          <w:p w:rsidR="009618E2" w:rsidRPr="009618E2" w:rsidRDefault="009618E2" w:rsidP="00466E65">
            <w:pPr>
              <w:rPr>
                <w:rFonts w:ascii="Verdana" w:hAnsi="Verdana"/>
                <w:b/>
                <w:color w:val="000000"/>
                <w:sz w:val="22"/>
                <w:szCs w:val="22"/>
              </w:rPr>
            </w:pPr>
            <w:r w:rsidRPr="009618E2">
              <w:rPr>
                <w:rFonts w:ascii="Verdana" w:hAnsi="Verdana"/>
                <w:b/>
                <w:color w:val="000000"/>
                <w:sz w:val="22"/>
                <w:szCs w:val="22"/>
              </w:rPr>
              <w:t xml:space="preserve">Total </w:t>
            </w:r>
            <w:r w:rsidR="00466E65">
              <w:rPr>
                <w:rFonts w:ascii="Verdana" w:hAnsi="Verdana"/>
                <w:b/>
                <w:color w:val="000000"/>
                <w:sz w:val="22"/>
                <w:szCs w:val="22"/>
              </w:rPr>
              <w:t>Fringe Benefits (6.b)</w:t>
            </w:r>
          </w:p>
        </w:tc>
        <w:tc>
          <w:tcPr>
            <w:tcW w:w="4500" w:type="dxa"/>
            <w:shd w:val="clear" w:color="auto" w:fill="auto"/>
            <w:noWrap/>
            <w:vAlign w:val="bottom"/>
            <w:hideMark/>
          </w:tcPr>
          <w:p w:rsidR="009618E2" w:rsidRPr="009618E2" w:rsidRDefault="00A01275" w:rsidP="00760A6B">
            <w:pPr>
              <w:jc w:val="right"/>
              <w:rPr>
                <w:rFonts w:ascii="Verdana" w:hAnsi="Verdana"/>
                <w:b/>
                <w:color w:val="000000"/>
                <w:sz w:val="22"/>
                <w:szCs w:val="22"/>
              </w:rPr>
            </w:pPr>
            <w:r>
              <w:rPr>
                <w:rFonts w:ascii="Verdana" w:hAnsi="Verdana"/>
                <w:b/>
                <w:color w:val="000000"/>
                <w:sz w:val="22"/>
                <w:szCs w:val="22"/>
              </w:rPr>
              <w:t>$49,662.08</w:t>
            </w:r>
          </w:p>
        </w:tc>
      </w:tr>
    </w:tbl>
    <w:p w:rsidR="009618E2" w:rsidRDefault="009618E2" w:rsidP="00615322">
      <w:pPr>
        <w:jc w:val="both"/>
        <w:rPr>
          <w:rFonts w:ascii="Arial Narrow" w:hAnsi="Arial Narrow"/>
        </w:rPr>
      </w:pPr>
    </w:p>
    <w:p w:rsidR="009E230A" w:rsidRDefault="009E230A" w:rsidP="00615322">
      <w:pPr>
        <w:jc w:val="both"/>
        <w:rPr>
          <w:b/>
          <w:sz w:val="28"/>
          <w:szCs w:val="28"/>
        </w:rPr>
      </w:pPr>
    </w:p>
    <w:p w:rsidR="006F4981" w:rsidRDefault="006F4981" w:rsidP="00615322">
      <w:pPr>
        <w:jc w:val="both"/>
        <w:rPr>
          <w:b/>
          <w:sz w:val="28"/>
          <w:szCs w:val="28"/>
        </w:rPr>
      </w:pPr>
    </w:p>
    <w:p w:rsidR="006F4981" w:rsidRDefault="006F4981" w:rsidP="00615322">
      <w:pPr>
        <w:jc w:val="both"/>
        <w:rPr>
          <w:b/>
          <w:sz w:val="28"/>
          <w:szCs w:val="28"/>
        </w:rPr>
      </w:pPr>
    </w:p>
    <w:p w:rsidR="000D786C" w:rsidRDefault="000D786C" w:rsidP="00615322">
      <w:pPr>
        <w:jc w:val="both"/>
        <w:rPr>
          <w:b/>
          <w:sz w:val="28"/>
          <w:szCs w:val="28"/>
        </w:rPr>
      </w:pPr>
    </w:p>
    <w:p w:rsidR="006F4981" w:rsidRDefault="006F4981" w:rsidP="00615322">
      <w:pPr>
        <w:jc w:val="both"/>
        <w:rPr>
          <w:b/>
          <w:sz w:val="28"/>
          <w:szCs w:val="28"/>
        </w:rPr>
      </w:pPr>
    </w:p>
    <w:p w:rsidR="006F4981" w:rsidRDefault="006F4981" w:rsidP="00615322">
      <w:pPr>
        <w:jc w:val="both"/>
        <w:rPr>
          <w:b/>
          <w:sz w:val="28"/>
          <w:szCs w:val="28"/>
        </w:rPr>
      </w:pPr>
    </w:p>
    <w:p w:rsidR="004E7F96" w:rsidRPr="00702CDD" w:rsidRDefault="00BF0516" w:rsidP="004E7F96">
      <w:pPr>
        <w:pBdr>
          <w:top w:val="single" w:sz="4" w:space="1" w:color="auto" w:shadow="1"/>
          <w:left w:val="single" w:sz="4" w:space="4" w:color="auto" w:shadow="1"/>
          <w:bottom w:val="single" w:sz="4" w:space="1" w:color="auto" w:shadow="1"/>
          <w:right w:val="single" w:sz="4" w:space="4" w:color="auto" w:shadow="1"/>
        </w:pBdr>
        <w:jc w:val="both"/>
        <w:rPr>
          <w:rFonts w:ascii="Verdana" w:hAnsi="Verdana"/>
          <w:b/>
          <w:sz w:val="22"/>
          <w:szCs w:val="22"/>
        </w:rPr>
      </w:pPr>
      <w:r w:rsidRPr="00702CDD">
        <w:rPr>
          <w:rFonts w:ascii="Verdana" w:hAnsi="Verdana"/>
          <w:b/>
          <w:sz w:val="22"/>
          <w:szCs w:val="22"/>
        </w:rPr>
        <w:t>Supplies (object class category 6.e</w:t>
      </w:r>
      <w:r w:rsidR="004E7F96" w:rsidRPr="00702CDD">
        <w:rPr>
          <w:rFonts w:ascii="Verdana" w:hAnsi="Verdana"/>
          <w:b/>
          <w:sz w:val="22"/>
          <w:szCs w:val="22"/>
        </w:rPr>
        <w:t>)</w:t>
      </w:r>
    </w:p>
    <w:p w:rsidR="00615322" w:rsidRDefault="00615322" w:rsidP="00615322">
      <w:pPr>
        <w:tabs>
          <w:tab w:val="left" w:pos="4785"/>
        </w:tabs>
        <w:rPr>
          <w:sz w:val="28"/>
          <w:szCs w:val="28"/>
        </w:rPr>
      </w:pPr>
    </w:p>
    <w:p w:rsidR="00A0513F" w:rsidRDefault="0048670E" w:rsidP="00615322">
      <w:pPr>
        <w:tabs>
          <w:tab w:val="left" w:pos="4785"/>
        </w:tabs>
        <w:jc w:val="both"/>
        <w:rPr>
          <w:rFonts w:ascii="Verdana" w:hAnsi="Verdana"/>
          <w:sz w:val="22"/>
          <w:szCs w:val="22"/>
        </w:rPr>
      </w:pPr>
      <w:r>
        <w:rPr>
          <w:rFonts w:ascii="Verdana" w:hAnsi="Verdana"/>
          <w:sz w:val="22"/>
          <w:szCs w:val="22"/>
        </w:rPr>
        <w:t xml:space="preserve">The </w:t>
      </w:r>
      <w:r w:rsidR="00F17243">
        <w:rPr>
          <w:rFonts w:ascii="Verdana" w:hAnsi="Verdana"/>
          <w:sz w:val="22"/>
          <w:szCs w:val="22"/>
        </w:rPr>
        <w:t xml:space="preserve">instructional </w:t>
      </w:r>
      <w:r>
        <w:rPr>
          <w:rFonts w:ascii="Verdana" w:hAnsi="Verdana"/>
          <w:sz w:val="22"/>
          <w:szCs w:val="22"/>
        </w:rPr>
        <w:t xml:space="preserve">supplies purchased under this category will </w:t>
      </w:r>
      <w:r w:rsidR="00A0513F">
        <w:rPr>
          <w:rFonts w:ascii="Verdana" w:hAnsi="Verdana"/>
          <w:sz w:val="22"/>
          <w:szCs w:val="22"/>
        </w:rPr>
        <w:t xml:space="preserve">be </w:t>
      </w:r>
      <w:r w:rsidR="00F17243">
        <w:rPr>
          <w:rFonts w:ascii="Verdana" w:hAnsi="Verdana"/>
          <w:sz w:val="22"/>
          <w:szCs w:val="22"/>
        </w:rPr>
        <w:t xml:space="preserve">used to carry out instructional activities in each of the seven (7) </w:t>
      </w:r>
      <w:r w:rsidR="00FE7C6F">
        <w:rPr>
          <w:rFonts w:ascii="Verdana" w:hAnsi="Verdana"/>
          <w:sz w:val="22"/>
          <w:szCs w:val="22"/>
        </w:rPr>
        <w:t xml:space="preserve">additional classrooms.  </w:t>
      </w:r>
      <w:r w:rsidR="00FE7C6F" w:rsidRPr="00FE7C6F">
        <w:rPr>
          <w:rFonts w:ascii="Verdana" w:hAnsi="Verdana"/>
          <w:sz w:val="22"/>
          <w:szCs w:val="22"/>
        </w:rPr>
        <w:t>Instructional materials</w:t>
      </w:r>
      <w:r w:rsidR="00FE7C6F">
        <w:rPr>
          <w:rFonts w:ascii="Verdana" w:hAnsi="Verdana"/>
          <w:sz w:val="22"/>
          <w:szCs w:val="22"/>
        </w:rPr>
        <w:t xml:space="preserve"> will be purchased to address the individual needs of children identified through the use of the LAP-D, Learning Accomplishment Profile Diagnostic.  The LAP-D is a diagnostic tool which assesses the domains of learning and development using a lap top.  </w:t>
      </w:r>
      <w:r w:rsidR="00C56EE8">
        <w:rPr>
          <w:rFonts w:ascii="Verdana" w:hAnsi="Verdana"/>
          <w:sz w:val="22"/>
          <w:szCs w:val="22"/>
        </w:rPr>
        <w:t>The 2011-2012 Pre and M</w:t>
      </w:r>
      <w:r w:rsidR="001E6FA6">
        <w:rPr>
          <w:rFonts w:ascii="Verdana" w:hAnsi="Verdana"/>
          <w:sz w:val="22"/>
          <w:szCs w:val="22"/>
        </w:rPr>
        <w:t>id</w:t>
      </w:r>
      <w:r w:rsidR="00C56EE8">
        <w:rPr>
          <w:rFonts w:ascii="Verdana" w:hAnsi="Verdana"/>
          <w:sz w:val="22"/>
          <w:szCs w:val="22"/>
        </w:rPr>
        <w:t xml:space="preserve">-Year assessments indicate that the children’s lowest performing areas were literacy and physical development. </w:t>
      </w:r>
      <w:r w:rsidR="00FE7C6F">
        <w:rPr>
          <w:rFonts w:ascii="Verdana" w:hAnsi="Verdana"/>
          <w:sz w:val="22"/>
          <w:szCs w:val="22"/>
        </w:rPr>
        <w:t>Instructional s</w:t>
      </w:r>
      <w:r w:rsidR="00C56EE8">
        <w:rPr>
          <w:rFonts w:ascii="Verdana" w:hAnsi="Verdana"/>
          <w:sz w:val="22"/>
          <w:szCs w:val="22"/>
        </w:rPr>
        <w:t xml:space="preserve">upplies and materials will </w:t>
      </w:r>
      <w:r w:rsidR="00FE7C6F">
        <w:rPr>
          <w:rFonts w:ascii="Verdana" w:hAnsi="Verdana"/>
          <w:sz w:val="22"/>
          <w:szCs w:val="22"/>
        </w:rPr>
        <w:t xml:space="preserve">be purchased to </w:t>
      </w:r>
      <w:r w:rsidR="001E6FA6">
        <w:rPr>
          <w:rFonts w:ascii="Verdana" w:hAnsi="Verdana"/>
          <w:sz w:val="22"/>
          <w:szCs w:val="22"/>
        </w:rPr>
        <w:t>address the</w:t>
      </w:r>
      <w:r w:rsidR="00C56EE8">
        <w:rPr>
          <w:rFonts w:ascii="Verdana" w:hAnsi="Verdana"/>
          <w:sz w:val="22"/>
          <w:szCs w:val="22"/>
        </w:rPr>
        <w:t>se areas of greatest need</w:t>
      </w:r>
      <w:r w:rsidR="00A0513F">
        <w:rPr>
          <w:rFonts w:ascii="Verdana" w:hAnsi="Verdana"/>
          <w:sz w:val="22"/>
          <w:szCs w:val="22"/>
        </w:rPr>
        <w:t xml:space="preserve">. These resources </w:t>
      </w:r>
      <w:r w:rsidR="00FE7C6F">
        <w:rPr>
          <w:rFonts w:ascii="Verdana" w:hAnsi="Verdana"/>
          <w:sz w:val="22"/>
          <w:szCs w:val="22"/>
        </w:rPr>
        <w:t xml:space="preserve">will </w:t>
      </w:r>
      <w:r w:rsidR="00C56EE8">
        <w:rPr>
          <w:rFonts w:ascii="Verdana" w:hAnsi="Verdana"/>
          <w:sz w:val="22"/>
          <w:szCs w:val="22"/>
        </w:rPr>
        <w:t>also in the development of school readiness skill for this age group of children.</w:t>
      </w:r>
      <w:r w:rsidR="00A0513F">
        <w:rPr>
          <w:rFonts w:ascii="Verdana" w:hAnsi="Verdana"/>
          <w:sz w:val="22"/>
          <w:szCs w:val="22"/>
        </w:rPr>
        <w:t xml:space="preserve"> Below is the list of materials to be purchased:</w:t>
      </w:r>
    </w:p>
    <w:p w:rsidR="00A0513F" w:rsidRDefault="00A0513F" w:rsidP="00615322">
      <w:pPr>
        <w:tabs>
          <w:tab w:val="left" w:pos="4785"/>
        </w:tabs>
        <w:jc w:val="both"/>
        <w:rPr>
          <w:rFonts w:ascii="Verdana" w:hAnsi="Verdana"/>
          <w:sz w:val="22"/>
          <w:szCs w:val="22"/>
        </w:rPr>
      </w:pPr>
    </w:p>
    <w:tbl>
      <w:tblPr>
        <w:tblStyle w:val="TableGrid"/>
        <w:tblW w:w="0" w:type="auto"/>
        <w:tblLook w:val="04A0" w:firstRow="1" w:lastRow="0" w:firstColumn="1" w:lastColumn="0" w:noHBand="0" w:noVBand="1"/>
      </w:tblPr>
      <w:tblGrid>
        <w:gridCol w:w="7578"/>
        <w:gridCol w:w="1818"/>
      </w:tblGrid>
      <w:tr w:rsidR="00A0513F" w:rsidTr="006F4981">
        <w:tc>
          <w:tcPr>
            <w:tcW w:w="7578" w:type="dxa"/>
          </w:tcPr>
          <w:p w:rsidR="00A0513F" w:rsidRDefault="006F4981" w:rsidP="00615322">
            <w:pPr>
              <w:tabs>
                <w:tab w:val="left" w:pos="4785"/>
              </w:tabs>
              <w:jc w:val="both"/>
              <w:rPr>
                <w:rFonts w:ascii="Verdana" w:hAnsi="Verdana"/>
                <w:sz w:val="22"/>
                <w:szCs w:val="22"/>
              </w:rPr>
            </w:pPr>
            <w:r>
              <w:rPr>
                <w:rFonts w:ascii="Verdana" w:hAnsi="Verdana"/>
                <w:sz w:val="22"/>
                <w:szCs w:val="22"/>
              </w:rPr>
              <w:t>Supplies and materials for physical development such as Lacing Skills Learning Center, Swing and Catch Cups, Easy Catch Play Balls, Peg Number Board, etc.</w:t>
            </w:r>
          </w:p>
        </w:tc>
        <w:tc>
          <w:tcPr>
            <w:tcW w:w="1818" w:type="dxa"/>
          </w:tcPr>
          <w:p w:rsidR="00A0513F" w:rsidRDefault="006F4981" w:rsidP="006F4981">
            <w:pPr>
              <w:tabs>
                <w:tab w:val="left" w:pos="4785"/>
              </w:tabs>
              <w:jc w:val="right"/>
              <w:rPr>
                <w:rFonts w:ascii="Verdana" w:hAnsi="Verdana"/>
                <w:sz w:val="22"/>
                <w:szCs w:val="22"/>
              </w:rPr>
            </w:pPr>
            <w:r>
              <w:rPr>
                <w:rFonts w:ascii="Verdana" w:hAnsi="Verdana"/>
                <w:sz w:val="22"/>
                <w:szCs w:val="22"/>
              </w:rPr>
              <w:t>$28, 829.27</w:t>
            </w:r>
          </w:p>
        </w:tc>
      </w:tr>
      <w:tr w:rsidR="00A0513F" w:rsidTr="006F4981">
        <w:tc>
          <w:tcPr>
            <w:tcW w:w="7578" w:type="dxa"/>
          </w:tcPr>
          <w:p w:rsidR="00A0513F" w:rsidRDefault="006F4981" w:rsidP="00615322">
            <w:pPr>
              <w:tabs>
                <w:tab w:val="left" w:pos="4785"/>
              </w:tabs>
              <w:jc w:val="both"/>
              <w:rPr>
                <w:rFonts w:ascii="Verdana" w:hAnsi="Verdana"/>
                <w:sz w:val="22"/>
                <w:szCs w:val="22"/>
              </w:rPr>
            </w:pPr>
            <w:r>
              <w:rPr>
                <w:rFonts w:ascii="Verdana" w:hAnsi="Verdana"/>
                <w:sz w:val="22"/>
                <w:szCs w:val="22"/>
              </w:rPr>
              <w:t>Supplies and materials for Early Literacy such as Upper Case Alphabet/Number Stampers, Lower Case Alphabet Stampers, Pre Writing Motor Skills Boards, etc.</w:t>
            </w:r>
          </w:p>
        </w:tc>
        <w:tc>
          <w:tcPr>
            <w:tcW w:w="1818" w:type="dxa"/>
          </w:tcPr>
          <w:p w:rsidR="00A0513F" w:rsidRDefault="006F4981" w:rsidP="006F4981">
            <w:pPr>
              <w:tabs>
                <w:tab w:val="left" w:pos="4785"/>
              </w:tabs>
              <w:jc w:val="right"/>
              <w:rPr>
                <w:rFonts w:ascii="Verdana" w:hAnsi="Verdana"/>
                <w:sz w:val="22"/>
                <w:szCs w:val="22"/>
              </w:rPr>
            </w:pPr>
            <w:r>
              <w:rPr>
                <w:rFonts w:ascii="Verdana" w:hAnsi="Verdana"/>
                <w:sz w:val="22"/>
                <w:szCs w:val="22"/>
              </w:rPr>
              <w:t>$1,904,03</w:t>
            </w:r>
          </w:p>
        </w:tc>
      </w:tr>
      <w:tr w:rsidR="00A0513F" w:rsidTr="006F4981">
        <w:tc>
          <w:tcPr>
            <w:tcW w:w="7578" w:type="dxa"/>
          </w:tcPr>
          <w:p w:rsidR="00A0513F" w:rsidRPr="00466E65" w:rsidRDefault="00466E65" w:rsidP="00615322">
            <w:pPr>
              <w:tabs>
                <w:tab w:val="left" w:pos="4785"/>
              </w:tabs>
              <w:jc w:val="both"/>
              <w:rPr>
                <w:rFonts w:ascii="Verdana" w:hAnsi="Verdana"/>
                <w:b/>
                <w:sz w:val="22"/>
                <w:szCs w:val="22"/>
              </w:rPr>
            </w:pPr>
            <w:r w:rsidRPr="00466E65">
              <w:rPr>
                <w:rFonts w:ascii="Verdana" w:hAnsi="Verdana"/>
                <w:b/>
                <w:sz w:val="22"/>
                <w:szCs w:val="22"/>
              </w:rPr>
              <w:t>Total Supplies (6.e)</w:t>
            </w:r>
          </w:p>
        </w:tc>
        <w:tc>
          <w:tcPr>
            <w:tcW w:w="1818" w:type="dxa"/>
          </w:tcPr>
          <w:p w:rsidR="00A0513F" w:rsidRDefault="001D1814" w:rsidP="006F4981">
            <w:pPr>
              <w:tabs>
                <w:tab w:val="left" w:pos="4785"/>
              </w:tabs>
              <w:jc w:val="right"/>
              <w:rPr>
                <w:rFonts w:ascii="Verdana" w:hAnsi="Verdana"/>
                <w:sz w:val="22"/>
                <w:szCs w:val="22"/>
              </w:rPr>
            </w:pPr>
            <w:r>
              <w:rPr>
                <w:rFonts w:ascii="Arial Narrow" w:hAnsi="Arial Narrow"/>
                <w:b/>
                <w:sz w:val="28"/>
                <w:szCs w:val="28"/>
              </w:rPr>
              <w:t>$30,733.30</w:t>
            </w:r>
          </w:p>
        </w:tc>
      </w:tr>
    </w:tbl>
    <w:p w:rsidR="00615322" w:rsidRDefault="00A0513F" w:rsidP="00615322">
      <w:pPr>
        <w:tabs>
          <w:tab w:val="left" w:pos="4785"/>
        </w:tabs>
        <w:jc w:val="both"/>
        <w:rPr>
          <w:rFonts w:ascii="Arial Narrow" w:hAnsi="Arial Narrow"/>
        </w:rPr>
      </w:pPr>
      <w:r>
        <w:rPr>
          <w:rFonts w:ascii="Verdana" w:hAnsi="Verdana"/>
          <w:sz w:val="22"/>
          <w:szCs w:val="22"/>
        </w:rPr>
        <w:t xml:space="preserve"> </w:t>
      </w:r>
    </w:p>
    <w:p w:rsidR="00615322" w:rsidRDefault="00615322" w:rsidP="00615322">
      <w:pPr>
        <w:tabs>
          <w:tab w:val="left" w:pos="4785"/>
        </w:tabs>
        <w:jc w:val="both"/>
        <w:rPr>
          <w:rFonts w:ascii="Arial Narrow" w:hAnsi="Arial Narrow"/>
        </w:rPr>
      </w:pPr>
    </w:p>
    <w:p w:rsidR="00780631" w:rsidRDefault="00780631" w:rsidP="004139E3">
      <w:pPr>
        <w:jc w:val="both"/>
        <w:rPr>
          <w:rFonts w:ascii="Verdana" w:hAnsi="Verdana"/>
          <w:sz w:val="22"/>
          <w:szCs w:val="22"/>
        </w:rPr>
      </w:pPr>
    </w:p>
    <w:p w:rsidR="00BF0516" w:rsidRPr="00702CDD" w:rsidRDefault="00BF0516" w:rsidP="00BF0516">
      <w:pPr>
        <w:pBdr>
          <w:top w:val="single" w:sz="4" w:space="1" w:color="auto" w:shadow="1"/>
          <w:left w:val="single" w:sz="4" w:space="4" w:color="auto" w:shadow="1"/>
          <w:bottom w:val="single" w:sz="4" w:space="1" w:color="auto" w:shadow="1"/>
          <w:right w:val="single" w:sz="4" w:space="4" w:color="auto" w:shadow="1"/>
        </w:pBdr>
        <w:jc w:val="both"/>
        <w:rPr>
          <w:rFonts w:ascii="Verdana" w:hAnsi="Verdana"/>
          <w:b/>
          <w:sz w:val="22"/>
          <w:szCs w:val="22"/>
        </w:rPr>
      </w:pPr>
      <w:r w:rsidRPr="00702CDD">
        <w:rPr>
          <w:rFonts w:ascii="Verdana" w:hAnsi="Verdana"/>
          <w:b/>
          <w:sz w:val="22"/>
          <w:szCs w:val="22"/>
        </w:rPr>
        <w:t>Other (object class category 6.h)</w:t>
      </w:r>
    </w:p>
    <w:p w:rsidR="000D786C" w:rsidRDefault="000D786C" w:rsidP="004139E3">
      <w:pPr>
        <w:jc w:val="both"/>
        <w:rPr>
          <w:b/>
          <w:sz w:val="28"/>
          <w:szCs w:val="28"/>
        </w:rPr>
      </w:pPr>
    </w:p>
    <w:p w:rsidR="00D91941" w:rsidRPr="00D91941" w:rsidRDefault="00CC0953" w:rsidP="004139E3">
      <w:pPr>
        <w:jc w:val="both"/>
        <w:rPr>
          <w:rFonts w:ascii="Verdana" w:hAnsi="Verdana"/>
          <w:sz w:val="22"/>
          <w:szCs w:val="22"/>
        </w:rPr>
      </w:pPr>
      <w:r>
        <w:rPr>
          <w:rFonts w:ascii="Verdana" w:hAnsi="Verdana"/>
          <w:sz w:val="22"/>
          <w:szCs w:val="22"/>
        </w:rPr>
        <w:t xml:space="preserve">Transportation and utility costs have continued to </w:t>
      </w:r>
      <w:r w:rsidR="005671DE">
        <w:rPr>
          <w:rFonts w:ascii="Verdana" w:hAnsi="Verdana"/>
          <w:sz w:val="22"/>
          <w:szCs w:val="22"/>
        </w:rPr>
        <w:t xml:space="preserve">escalate, thus these funds will also be utilized for these costs </w:t>
      </w:r>
      <w:r>
        <w:rPr>
          <w:rFonts w:ascii="Verdana" w:hAnsi="Verdana"/>
          <w:sz w:val="22"/>
          <w:szCs w:val="22"/>
        </w:rPr>
        <w:t>as services for the additional children are being provided.  T</w:t>
      </w:r>
      <w:r w:rsidR="00B428CD">
        <w:rPr>
          <w:rFonts w:ascii="Verdana" w:hAnsi="Verdana"/>
          <w:sz w:val="22"/>
          <w:szCs w:val="22"/>
        </w:rPr>
        <w:t>he following expenditures</w:t>
      </w:r>
      <w:r>
        <w:rPr>
          <w:rFonts w:ascii="Verdana" w:hAnsi="Verdana"/>
          <w:sz w:val="22"/>
          <w:szCs w:val="22"/>
        </w:rPr>
        <w:t xml:space="preserve"> are included:</w:t>
      </w:r>
    </w:p>
    <w:p w:rsidR="009D0C9C" w:rsidRDefault="009D0C9C" w:rsidP="004139E3">
      <w:pPr>
        <w:jc w:val="both"/>
        <w:rPr>
          <w:b/>
          <w:sz w:val="28"/>
          <w:szCs w:val="28"/>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3064"/>
      </w:tblGrid>
      <w:tr w:rsidR="000E085E" w:rsidRPr="000E085E" w:rsidTr="004F1983">
        <w:trPr>
          <w:trHeight w:val="300"/>
        </w:trPr>
        <w:tc>
          <w:tcPr>
            <w:tcW w:w="6206" w:type="dxa"/>
            <w:shd w:val="clear" w:color="auto" w:fill="auto"/>
            <w:noWrap/>
            <w:vAlign w:val="bottom"/>
            <w:hideMark/>
          </w:tcPr>
          <w:p w:rsidR="000E085E" w:rsidRPr="000E085E" w:rsidRDefault="000E085E" w:rsidP="000E085E">
            <w:pPr>
              <w:rPr>
                <w:rFonts w:ascii="Verdana" w:hAnsi="Verdana"/>
                <w:color w:val="000000"/>
                <w:sz w:val="22"/>
                <w:szCs w:val="22"/>
              </w:rPr>
            </w:pPr>
            <w:r w:rsidRPr="000E085E">
              <w:rPr>
                <w:rFonts w:ascii="Verdana" w:hAnsi="Verdana"/>
                <w:color w:val="000000"/>
                <w:sz w:val="22"/>
                <w:szCs w:val="22"/>
              </w:rPr>
              <w:t>Fuel</w:t>
            </w:r>
            <w:r w:rsidR="00C56EE8">
              <w:rPr>
                <w:rFonts w:ascii="Verdana" w:hAnsi="Verdana"/>
                <w:color w:val="000000"/>
                <w:sz w:val="22"/>
                <w:szCs w:val="22"/>
              </w:rPr>
              <w:t xml:space="preserve"> and Bus Repairs</w:t>
            </w:r>
          </w:p>
        </w:tc>
        <w:tc>
          <w:tcPr>
            <w:tcW w:w="3064" w:type="dxa"/>
            <w:shd w:val="clear" w:color="auto" w:fill="auto"/>
            <w:noWrap/>
            <w:vAlign w:val="bottom"/>
            <w:hideMark/>
          </w:tcPr>
          <w:p w:rsidR="000E085E" w:rsidRPr="000E085E" w:rsidRDefault="00F17243" w:rsidP="00F17243">
            <w:pPr>
              <w:jc w:val="right"/>
              <w:rPr>
                <w:rFonts w:ascii="Verdana" w:hAnsi="Verdana"/>
                <w:color w:val="000000"/>
                <w:sz w:val="22"/>
                <w:szCs w:val="22"/>
              </w:rPr>
            </w:pPr>
            <w:r>
              <w:rPr>
                <w:rFonts w:ascii="Verdana" w:hAnsi="Verdana"/>
                <w:color w:val="000000"/>
                <w:sz w:val="22"/>
                <w:szCs w:val="22"/>
              </w:rPr>
              <w:t>$</w:t>
            </w:r>
            <w:r w:rsidR="00CC0953">
              <w:rPr>
                <w:rFonts w:ascii="Verdana" w:hAnsi="Verdana"/>
                <w:color w:val="000000"/>
                <w:sz w:val="22"/>
                <w:szCs w:val="22"/>
              </w:rPr>
              <w:t>7,509</w:t>
            </w:r>
            <w:r w:rsidR="00C56EE8">
              <w:rPr>
                <w:rFonts w:ascii="Verdana" w:hAnsi="Verdana"/>
                <w:color w:val="000000"/>
                <w:sz w:val="22"/>
                <w:szCs w:val="22"/>
              </w:rPr>
              <w:t>,45</w:t>
            </w:r>
          </w:p>
        </w:tc>
      </w:tr>
      <w:tr w:rsidR="000E085E" w:rsidRPr="000E085E" w:rsidTr="004F1983">
        <w:trPr>
          <w:trHeight w:val="300"/>
        </w:trPr>
        <w:tc>
          <w:tcPr>
            <w:tcW w:w="6206" w:type="dxa"/>
            <w:shd w:val="clear" w:color="auto" w:fill="auto"/>
            <w:noWrap/>
            <w:vAlign w:val="bottom"/>
            <w:hideMark/>
          </w:tcPr>
          <w:p w:rsidR="000E085E" w:rsidRPr="000E085E" w:rsidRDefault="000E085E" w:rsidP="000E085E">
            <w:pPr>
              <w:rPr>
                <w:rFonts w:ascii="Verdana" w:hAnsi="Verdana"/>
                <w:color w:val="000000"/>
                <w:sz w:val="22"/>
                <w:szCs w:val="22"/>
              </w:rPr>
            </w:pPr>
            <w:r w:rsidRPr="000E085E">
              <w:rPr>
                <w:rFonts w:ascii="Verdana" w:hAnsi="Verdana"/>
                <w:color w:val="000000"/>
                <w:sz w:val="22"/>
                <w:szCs w:val="22"/>
              </w:rPr>
              <w:t>Utilities, Telephone</w:t>
            </w:r>
          </w:p>
        </w:tc>
        <w:tc>
          <w:tcPr>
            <w:tcW w:w="3064" w:type="dxa"/>
            <w:shd w:val="clear" w:color="auto" w:fill="auto"/>
            <w:noWrap/>
            <w:vAlign w:val="bottom"/>
            <w:hideMark/>
          </w:tcPr>
          <w:p w:rsidR="000E085E" w:rsidRPr="000E085E" w:rsidRDefault="00F17243" w:rsidP="00F17243">
            <w:pPr>
              <w:jc w:val="right"/>
              <w:rPr>
                <w:rFonts w:ascii="Verdana" w:hAnsi="Verdana"/>
                <w:color w:val="000000"/>
                <w:sz w:val="22"/>
                <w:szCs w:val="22"/>
              </w:rPr>
            </w:pPr>
            <w:r>
              <w:rPr>
                <w:rFonts w:ascii="Verdana" w:hAnsi="Verdana"/>
                <w:color w:val="000000"/>
                <w:sz w:val="22"/>
                <w:szCs w:val="22"/>
              </w:rPr>
              <w:t>$5,306.73</w:t>
            </w:r>
          </w:p>
        </w:tc>
      </w:tr>
      <w:tr w:rsidR="000E085E" w:rsidRPr="000E085E" w:rsidTr="004F1983">
        <w:trPr>
          <w:trHeight w:val="300"/>
        </w:trPr>
        <w:tc>
          <w:tcPr>
            <w:tcW w:w="6206" w:type="dxa"/>
            <w:shd w:val="clear" w:color="auto" w:fill="auto"/>
            <w:noWrap/>
            <w:vAlign w:val="bottom"/>
            <w:hideMark/>
          </w:tcPr>
          <w:p w:rsidR="000E085E" w:rsidRPr="000E085E" w:rsidRDefault="000E085E" w:rsidP="001F5CDD">
            <w:pPr>
              <w:rPr>
                <w:rFonts w:ascii="Verdana" w:hAnsi="Verdana"/>
                <w:b/>
                <w:color w:val="000000"/>
                <w:sz w:val="22"/>
                <w:szCs w:val="22"/>
              </w:rPr>
            </w:pPr>
            <w:r w:rsidRPr="000E085E">
              <w:rPr>
                <w:rFonts w:ascii="Verdana" w:hAnsi="Verdana"/>
                <w:b/>
                <w:color w:val="000000"/>
                <w:sz w:val="22"/>
                <w:szCs w:val="22"/>
              </w:rPr>
              <w:t xml:space="preserve">Total </w:t>
            </w:r>
            <w:r w:rsidR="00466E65">
              <w:rPr>
                <w:rFonts w:ascii="Verdana" w:hAnsi="Verdana"/>
                <w:b/>
                <w:color w:val="000000"/>
                <w:sz w:val="22"/>
                <w:szCs w:val="22"/>
              </w:rPr>
              <w:t>Other (6.h)</w:t>
            </w:r>
          </w:p>
        </w:tc>
        <w:tc>
          <w:tcPr>
            <w:tcW w:w="3064" w:type="dxa"/>
            <w:shd w:val="clear" w:color="auto" w:fill="auto"/>
            <w:noWrap/>
            <w:vAlign w:val="bottom"/>
            <w:hideMark/>
          </w:tcPr>
          <w:p w:rsidR="000E085E" w:rsidRPr="000E085E" w:rsidRDefault="00F17243" w:rsidP="00F17243">
            <w:pPr>
              <w:jc w:val="right"/>
              <w:rPr>
                <w:rFonts w:ascii="Verdana" w:hAnsi="Verdana"/>
                <w:b/>
                <w:color w:val="000000"/>
                <w:sz w:val="22"/>
                <w:szCs w:val="22"/>
              </w:rPr>
            </w:pPr>
            <w:r>
              <w:rPr>
                <w:rFonts w:ascii="Verdana" w:hAnsi="Verdana"/>
                <w:b/>
                <w:color w:val="000000"/>
                <w:sz w:val="22"/>
                <w:szCs w:val="22"/>
              </w:rPr>
              <w:t>$12,816.18</w:t>
            </w:r>
          </w:p>
        </w:tc>
      </w:tr>
    </w:tbl>
    <w:p w:rsidR="004E7F96" w:rsidRDefault="004E7F96" w:rsidP="004139E3">
      <w:pPr>
        <w:jc w:val="both"/>
        <w:rPr>
          <w:sz w:val="28"/>
          <w:szCs w:val="28"/>
        </w:rPr>
      </w:pPr>
    </w:p>
    <w:tbl>
      <w:tblPr>
        <w:tblStyle w:val="TableGrid"/>
        <w:tblpPr w:leftFromText="180" w:rightFromText="180" w:vertAnchor="text" w:horzAnchor="page" w:tblpX="1833" w:tblpY="120"/>
        <w:tblW w:w="0" w:type="auto"/>
        <w:tblLook w:val="04A0" w:firstRow="1" w:lastRow="0" w:firstColumn="1" w:lastColumn="0" w:noHBand="0" w:noVBand="1"/>
      </w:tblPr>
      <w:tblGrid>
        <w:gridCol w:w="6354"/>
        <w:gridCol w:w="3024"/>
      </w:tblGrid>
      <w:tr w:rsidR="004E7F96" w:rsidRPr="00845BE0" w:rsidTr="003E1B9D">
        <w:tc>
          <w:tcPr>
            <w:tcW w:w="6354" w:type="dxa"/>
          </w:tcPr>
          <w:p w:rsidR="004E7F96" w:rsidRPr="001F5CDD" w:rsidRDefault="004E7F96" w:rsidP="003E1B9D">
            <w:pPr>
              <w:jc w:val="both"/>
              <w:rPr>
                <w:rFonts w:ascii="Verdana" w:hAnsi="Verdana"/>
                <w:b/>
              </w:rPr>
            </w:pPr>
            <w:r w:rsidRPr="001F5CDD">
              <w:rPr>
                <w:rFonts w:ascii="Verdana" w:hAnsi="Verdana"/>
                <w:b/>
              </w:rPr>
              <w:t>Expansion Total</w:t>
            </w:r>
          </w:p>
        </w:tc>
        <w:tc>
          <w:tcPr>
            <w:tcW w:w="3024" w:type="dxa"/>
          </w:tcPr>
          <w:p w:rsidR="004E7F96" w:rsidRPr="001F5CDD" w:rsidRDefault="004E7F96" w:rsidP="003E1B9D">
            <w:pPr>
              <w:jc w:val="right"/>
              <w:rPr>
                <w:rFonts w:ascii="Verdana" w:hAnsi="Verdana"/>
                <w:b/>
              </w:rPr>
            </w:pPr>
            <w:r w:rsidRPr="001F5CDD">
              <w:rPr>
                <w:rFonts w:ascii="Verdana" w:hAnsi="Verdana"/>
                <w:b/>
              </w:rPr>
              <w:t>$225,000.00</w:t>
            </w:r>
          </w:p>
        </w:tc>
      </w:tr>
    </w:tbl>
    <w:p w:rsidR="004E7F96" w:rsidRDefault="004E7F96" w:rsidP="004139E3">
      <w:pPr>
        <w:jc w:val="both"/>
        <w:rPr>
          <w:rFonts w:ascii="Verdana" w:hAnsi="Verdana"/>
        </w:rPr>
      </w:pPr>
    </w:p>
    <w:p w:rsidR="001D1814" w:rsidRPr="00702CDD" w:rsidRDefault="004E7F96" w:rsidP="004139E3">
      <w:pPr>
        <w:jc w:val="both"/>
        <w:rPr>
          <w:rFonts w:ascii="Verdana" w:hAnsi="Verdana"/>
          <w:b/>
        </w:rPr>
      </w:pPr>
      <w:r w:rsidRPr="00702CDD">
        <w:rPr>
          <w:rFonts w:ascii="Verdana" w:hAnsi="Verdana"/>
          <w:b/>
        </w:rPr>
        <w:t>Training and Technical Assistance Funds</w:t>
      </w:r>
    </w:p>
    <w:p w:rsidR="004E7F96" w:rsidRPr="004E7F96" w:rsidRDefault="004E7F96" w:rsidP="004139E3">
      <w:pPr>
        <w:jc w:val="both"/>
        <w:rPr>
          <w:rFonts w:ascii="Verdana" w:hAnsi="Verdana"/>
          <w:sz w:val="22"/>
          <w:szCs w:val="22"/>
        </w:rPr>
      </w:pPr>
    </w:p>
    <w:p w:rsidR="001D1814" w:rsidRDefault="001D1814" w:rsidP="004139E3">
      <w:pPr>
        <w:jc w:val="both"/>
        <w:rPr>
          <w:sz w:val="28"/>
          <w:szCs w:val="28"/>
        </w:rPr>
      </w:pPr>
      <w:r>
        <w:rPr>
          <w:rFonts w:ascii="Verdana" w:hAnsi="Verdana"/>
          <w:sz w:val="22"/>
          <w:szCs w:val="22"/>
        </w:rPr>
        <w:t xml:space="preserve">The </w:t>
      </w:r>
      <w:r w:rsidR="00AE5C9C">
        <w:rPr>
          <w:rFonts w:ascii="Verdana" w:hAnsi="Verdana"/>
          <w:sz w:val="22"/>
          <w:szCs w:val="22"/>
        </w:rPr>
        <w:t xml:space="preserve">fourteen (14) classroom staff will be assisted with educational costs for them to continue their professional development and work towards a bachelor’s degree in early childhood education and to participate in other training for the use of the instructional materials to be purchased to address the priority needs as measured by the Learning Accomplishment Profile </w:t>
      </w:r>
      <w:r w:rsidR="00BB2EC9">
        <w:rPr>
          <w:rFonts w:ascii="Verdana" w:hAnsi="Verdana"/>
          <w:sz w:val="22"/>
          <w:szCs w:val="22"/>
        </w:rPr>
        <w:t>Diagnostic, LAP-D.</w:t>
      </w:r>
    </w:p>
    <w:p w:rsidR="001D1814" w:rsidRDefault="001D1814" w:rsidP="004139E3">
      <w:pPr>
        <w:jc w:val="both"/>
        <w:rPr>
          <w:sz w:val="28"/>
          <w:szCs w:val="28"/>
        </w:rPr>
      </w:pPr>
    </w:p>
    <w:tbl>
      <w:tblPr>
        <w:tblStyle w:val="TableGrid"/>
        <w:tblpPr w:leftFromText="180" w:rightFromText="180" w:vertAnchor="text" w:horzAnchor="page" w:tblpX="1833" w:tblpY="120"/>
        <w:tblW w:w="0" w:type="auto"/>
        <w:tblLook w:val="04A0" w:firstRow="1" w:lastRow="0" w:firstColumn="1" w:lastColumn="0" w:noHBand="0" w:noVBand="1"/>
      </w:tblPr>
      <w:tblGrid>
        <w:gridCol w:w="6354"/>
        <w:gridCol w:w="3024"/>
      </w:tblGrid>
      <w:tr w:rsidR="00845BE0" w:rsidTr="004F1983">
        <w:tc>
          <w:tcPr>
            <w:tcW w:w="6354" w:type="dxa"/>
          </w:tcPr>
          <w:p w:rsidR="00845BE0" w:rsidRPr="001F5CDD" w:rsidRDefault="001D1814" w:rsidP="004F1983">
            <w:pPr>
              <w:jc w:val="both"/>
              <w:rPr>
                <w:rFonts w:ascii="Verdana" w:hAnsi="Verdana"/>
                <w:b/>
              </w:rPr>
            </w:pPr>
            <w:r w:rsidRPr="001F5CDD">
              <w:rPr>
                <w:rFonts w:ascii="Verdana" w:hAnsi="Verdana"/>
                <w:b/>
              </w:rPr>
              <w:t>Training and Technical Assistance</w:t>
            </w:r>
            <w:r w:rsidR="004E7F96" w:rsidRPr="001F5CDD">
              <w:rPr>
                <w:rFonts w:ascii="Verdana" w:hAnsi="Verdana"/>
                <w:b/>
              </w:rPr>
              <w:t xml:space="preserve"> Total</w:t>
            </w:r>
          </w:p>
        </w:tc>
        <w:tc>
          <w:tcPr>
            <w:tcW w:w="3024" w:type="dxa"/>
          </w:tcPr>
          <w:p w:rsidR="00845BE0" w:rsidRPr="001F5CDD" w:rsidRDefault="00F17243" w:rsidP="004F1983">
            <w:pPr>
              <w:jc w:val="right"/>
              <w:rPr>
                <w:rFonts w:ascii="Verdana" w:hAnsi="Verdana"/>
                <w:b/>
              </w:rPr>
            </w:pPr>
            <w:r w:rsidRPr="001F5CDD">
              <w:rPr>
                <w:rFonts w:ascii="Verdana" w:hAnsi="Verdana"/>
                <w:b/>
              </w:rPr>
              <w:t>$1,950.00</w:t>
            </w:r>
          </w:p>
        </w:tc>
      </w:tr>
    </w:tbl>
    <w:p w:rsidR="00845BE0" w:rsidRDefault="00845BE0" w:rsidP="004139E3">
      <w:pPr>
        <w:jc w:val="both"/>
        <w:rPr>
          <w:sz w:val="28"/>
          <w:szCs w:val="28"/>
        </w:rPr>
      </w:pPr>
      <w:r>
        <w:rPr>
          <w:sz w:val="28"/>
          <w:szCs w:val="28"/>
        </w:rPr>
        <w:tab/>
      </w:r>
    </w:p>
    <w:p w:rsidR="00466E65" w:rsidRDefault="00466E65" w:rsidP="004139E3">
      <w:pPr>
        <w:jc w:val="both"/>
        <w:rPr>
          <w:rFonts w:ascii="Verdana" w:hAnsi="Verdana"/>
          <w:b/>
        </w:rPr>
      </w:pPr>
    </w:p>
    <w:p w:rsidR="00B428CD" w:rsidRPr="006E2F44" w:rsidRDefault="00BF0516" w:rsidP="004139E3">
      <w:pPr>
        <w:jc w:val="both"/>
        <w:rPr>
          <w:rFonts w:ascii="Verdana" w:hAnsi="Verdana"/>
          <w:b/>
        </w:rPr>
      </w:pPr>
      <w:r w:rsidRPr="006E2F44">
        <w:rPr>
          <w:rFonts w:ascii="Verdana" w:hAnsi="Verdana"/>
          <w:b/>
        </w:rPr>
        <w:t>Cost of Living Adjustment</w:t>
      </w:r>
    </w:p>
    <w:p w:rsidR="00BF0516" w:rsidRDefault="00BF0516" w:rsidP="004139E3">
      <w:pPr>
        <w:jc w:val="both"/>
        <w:rPr>
          <w:rFonts w:ascii="Verdana" w:hAnsi="Verdana"/>
          <w:sz w:val="22"/>
          <w:szCs w:val="22"/>
        </w:rPr>
      </w:pPr>
    </w:p>
    <w:p w:rsidR="00B428CD" w:rsidRDefault="00BF0516" w:rsidP="004139E3">
      <w:pPr>
        <w:jc w:val="both"/>
        <w:rPr>
          <w:rFonts w:ascii="Verdana" w:hAnsi="Verdana"/>
          <w:sz w:val="22"/>
          <w:szCs w:val="22"/>
          <w:u w:val="single"/>
        </w:rPr>
      </w:pPr>
      <w:r w:rsidRPr="00BF0516">
        <w:rPr>
          <w:rFonts w:ascii="Verdana" w:hAnsi="Verdana"/>
          <w:sz w:val="22"/>
          <w:szCs w:val="22"/>
        </w:rPr>
        <w:t xml:space="preserve">The cost </w:t>
      </w:r>
      <w:r>
        <w:rPr>
          <w:rFonts w:ascii="Verdana" w:hAnsi="Verdana"/>
          <w:sz w:val="22"/>
          <w:szCs w:val="22"/>
        </w:rPr>
        <w:t xml:space="preserve">of living adjustment </w:t>
      </w:r>
      <w:r w:rsidR="00183C81">
        <w:rPr>
          <w:rFonts w:ascii="Verdana" w:hAnsi="Verdana"/>
          <w:sz w:val="22"/>
          <w:szCs w:val="22"/>
        </w:rPr>
        <w:t>is clearly linked to im</w:t>
      </w:r>
      <w:r w:rsidR="00CC6D65">
        <w:rPr>
          <w:rFonts w:ascii="Verdana" w:hAnsi="Verdana"/>
          <w:sz w:val="22"/>
          <w:szCs w:val="22"/>
        </w:rPr>
        <w:t xml:space="preserve">proving the quality of services at all levels </w:t>
      </w:r>
      <w:r w:rsidR="00183C81">
        <w:rPr>
          <w:rFonts w:ascii="Verdana" w:hAnsi="Verdana"/>
          <w:sz w:val="22"/>
          <w:szCs w:val="22"/>
        </w:rPr>
        <w:t>for the children enrolled in the Program.  Children and families benefit significantly from a more experienced and a more educated staff</w:t>
      </w:r>
      <w:r w:rsidR="00CC6D65">
        <w:rPr>
          <w:rFonts w:ascii="Verdana" w:hAnsi="Verdana"/>
          <w:sz w:val="22"/>
          <w:szCs w:val="22"/>
        </w:rPr>
        <w:t>.</w:t>
      </w:r>
      <w:r w:rsidR="00183C81">
        <w:rPr>
          <w:rFonts w:ascii="Verdana" w:hAnsi="Verdana"/>
          <w:sz w:val="22"/>
          <w:szCs w:val="22"/>
        </w:rPr>
        <w:t xml:space="preserve"> </w:t>
      </w:r>
      <w:r w:rsidR="00CC6D65">
        <w:rPr>
          <w:rFonts w:ascii="Verdana" w:hAnsi="Verdana"/>
          <w:sz w:val="22"/>
          <w:szCs w:val="22"/>
        </w:rPr>
        <w:t xml:space="preserve">This adjustment </w:t>
      </w:r>
      <w:r>
        <w:rPr>
          <w:rFonts w:ascii="Verdana" w:hAnsi="Verdana"/>
          <w:sz w:val="22"/>
          <w:szCs w:val="22"/>
        </w:rPr>
        <w:t xml:space="preserve">will </w:t>
      </w:r>
      <w:r w:rsidR="00CC6D65">
        <w:rPr>
          <w:rFonts w:ascii="Verdana" w:hAnsi="Verdana"/>
          <w:sz w:val="22"/>
          <w:szCs w:val="22"/>
        </w:rPr>
        <w:t xml:space="preserve">facilitate </w:t>
      </w:r>
      <w:r>
        <w:rPr>
          <w:rFonts w:ascii="Verdana" w:hAnsi="Verdana"/>
          <w:sz w:val="22"/>
          <w:szCs w:val="22"/>
        </w:rPr>
        <w:t xml:space="preserve">recruiting, employing and retaining the most qualified staff in the area. It will reduce the gap between the Program’s hiring scale and the </w:t>
      </w:r>
      <w:r w:rsidR="00183C81">
        <w:rPr>
          <w:rFonts w:ascii="Verdana" w:hAnsi="Verdana"/>
          <w:sz w:val="22"/>
          <w:szCs w:val="22"/>
        </w:rPr>
        <w:t>hiring scale of school districts in the area, thus making it less competitive and less difficult for the Program to find candidates with bachelor’s degrees in early childhood education.</w:t>
      </w:r>
      <w:r w:rsidR="00183C81">
        <w:rPr>
          <w:rFonts w:ascii="Verdana" w:hAnsi="Verdana"/>
          <w:sz w:val="22"/>
          <w:szCs w:val="22"/>
          <w:u w:val="single"/>
        </w:rPr>
        <w:t xml:space="preserve"> </w:t>
      </w:r>
    </w:p>
    <w:p w:rsidR="009E6AF9" w:rsidRDefault="009E6AF9" w:rsidP="004139E3">
      <w:pPr>
        <w:jc w:val="both"/>
        <w:rPr>
          <w:rFonts w:ascii="Verdana" w:hAnsi="Verdana"/>
          <w:sz w:val="22"/>
          <w:szCs w:val="22"/>
          <w:u w:val="single"/>
        </w:rPr>
      </w:pPr>
    </w:p>
    <w:p w:rsidR="009E6AF9" w:rsidRPr="00CC6D65" w:rsidRDefault="009E6AF9" w:rsidP="009E6AF9">
      <w:pPr>
        <w:pBdr>
          <w:top w:val="single" w:sz="4" w:space="1" w:color="auto" w:shadow="1"/>
          <w:left w:val="single" w:sz="4" w:space="4" w:color="auto" w:shadow="1"/>
          <w:bottom w:val="single" w:sz="4" w:space="1" w:color="auto" w:shadow="1"/>
          <w:right w:val="single" w:sz="4" w:space="4" w:color="auto" w:shadow="1"/>
        </w:pBdr>
        <w:jc w:val="both"/>
        <w:rPr>
          <w:rFonts w:ascii="Verdana" w:hAnsi="Verdana"/>
          <w:b/>
          <w:sz w:val="22"/>
          <w:szCs w:val="22"/>
        </w:rPr>
      </w:pPr>
      <w:r w:rsidRPr="00CC6D65">
        <w:rPr>
          <w:rFonts w:ascii="Verdana" w:hAnsi="Verdana"/>
          <w:b/>
          <w:sz w:val="22"/>
          <w:szCs w:val="22"/>
        </w:rPr>
        <w:t>Personnel (Object class category 6.a)</w:t>
      </w:r>
    </w:p>
    <w:p w:rsidR="009E6AF9" w:rsidRDefault="009E6AF9" w:rsidP="009E6AF9">
      <w:pPr>
        <w:jc w:val="both"/>
        <w:rPr>
          <w:rFonts w:ascii="Arial Narrow" w:hAnsi="Arial Narrow"/>
          <w:b/>
          <w:sz w:val="28"/>
          <w:szCs w:val="28"/>
        </w:rPr>
      </w:pPr>
    </w:p>
    <w:tbl>
      <w:tblPr>
        <w:tblpPr w:leftFromText="180" w:rightFromText="180" w:vertAnchor="text" w:horzAnchor="page" w:tblpX="1820" w:tblpY="-51"/>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1818"/>
      </w:tblGrid>
      <w:tr w:rsidR="009E6AF9" w:rsidRPr="00615322" w:rsidTr="003F1A9B">
        <w:trPr>
          <w:trHeight w:val="350"/>
        </w:trPr>
        <w:tc>
          <w:tcPr>
            <w:tcW w:w="7578" w:type="dxa"/>
            <w:shd w:val="clear" w:color="auto" w:fill="auto"/>
            <w:noWrap/>
            <w:vAlign w:val="bottom"/>
            <w:hideMark/>
          </w:tcPr>
          <w:p w:rsidR="009E6AF9" w:rsidRPr="00615322" w:rsidRDefault="009E6AF9" w:rsidP="003F1A9B">
            <w:pPr>
              <w:jc w:val="center"/>
              <w:rPr>
                <w:rFonts w:ascii="Verdana" w:hAnsi="Verdana"/>
                <w:b/>
                <w:color w:val="000000"/>
                <w:sz w:val="22"/>
                <w:szCs w:val="22"/>
              </w:rPr>
            </w:pPr>
            <w:r w:rsidRPr="00615322">
              <w:rPr>
                <w:rFonts w:ascii="Verdana" w:hAnsi="Verdana"/>
                <w:b/>
                <w:color w:val="000000"/>
                <w:sz w:val="22"/>
                <w:szCs w:val="22"/>
              </w:rPr>
              <w:t>Position</w:t>
            </w:r>
          </w:p>
        </w:tc>
        <w:tc>
          <w:tcPr>
            <w:tcW w:w="1818" w:type="dxa"/>
            <w:shd w:val="clear" w:color="auto" w:fill="auto"/>
            <w:noWrap/>
            <w:vAlign w:val="bottom"/>
            <w:hideMark/>
          </w:tcPr>
          <w:p w:rsidR="009E6AF9" w:rsidRPr="00615322" w:rsidRDefault="009E6AF9" w:rsidP="003F1A9B">
            <w:pPr>
              <w:jc w:val="center"/>
              <w:rPr>
                <w:rFonts w:ascii="Verdana" w:hAnsi="Verdana"/>
                <w:b/>
                <w:color w:val="000000"/>
                <w:sz w:val="22"/>
                <w:szCs w:val="22"/>
              </w:rPr>
            </w:pPr>
            <w:r w:rsidRPr="00615322">
              <w:rPr>
                <w:rFonts w:ascii="Verdana" w:hAnsi="Verdana"/>
                <w:b/>
                <w:color w:val="000000"/>
                <w:sz w:val="22"/>
                <w:szCs w:val="22"/>
              </w:rPr>
              <w:t>Amount</w:t>
            </w:r>
          </w:p>
        </w:tc>
      </w:tr>
      <w:tr w:rsidR="009E6AF9" w:rsidRPr="00615322" w:rsidTr="003F1A9B">
        <w:trPr>
          <w:trHeight w:val="300"/>
        </w:trPr>
        <w:tc>
          <w:tcPr>
            <w:tcW w:w="7578" w:type="dxa"/>
            <w:shd w:val="clear" w:color="auto" w:fill="auto"/>
            <w:noWrap/>
            <w:vAlign w:val="bottom"/>
            <w:hideMark/>
          </w:tcPr>
          <w:p w:rsidR="009E6AF9" w:rsidRPr="00615322" w:rsidRDefault="00E01CCB" w:rsidP="00466E65">
            <w:pPr>
              <w:rPr>
                <w:rFonts w:ascii="Verdana" w:hAnsi="Verdana"/>
                <w:color w:val="000000"/>
                <w:sz w:val="22"/>
                <w:szCs w:val="22"/>
              </w:rPr>
            </w:pPr>
            <w:r>
              <w:rPr>
                <w:rFonts w:ascii="Verdana" w:hAnsi="Verdana"/>
                <w:color w:val="000000"/>
                <w:sz w:val="22"/>
                <w:szCs w:val="22"/>
              </w:rPr>
              <w:t>All positions COLA</w:t>
            </w:r>
          </w:p>
        </w:tc>
        <w:tc>
          <w:tcPr>
            <w:tcW w:w="1818" w:type="dxa"/>
            <w:shd w:val="clear" w:color="auto" w:fill="auto"/>
            <w:noWrap/>
            <w:vAlign w:val="bottom"/>
            <w:hideMark/>
          </w:tcPr>
          <w:p w:rsidR="009E6AF9" w:rsidRPr="00615322" w:rsidRDefault="00E01CCB" w:rsidP="003F1A9B">
            <w:pPr>
              <w:jc w:val="center"/>
              <w:rPr>
                <w:rFonts w:ascii="Verdana" w:hAnsi="Verdana"/>
                <w:color w:val="000000"/>
                <w:sz w:val="22"/>
                <w:szCs w:val="22"/>
              </w:rPr>
            </w:pPr>
            <w:r>
              <w:rPr>
                <w:rFonts w:ascii="Verdana" w:hAnsi="Verdana"/>
                <w:color w:val="000000"/>
                <w:sz w:val="22"/>
                <w:szCs w:val="22"/>
              </w:rPr>
              <w:t>$156,159.25</w:t>
            </w:r>
          </w:p>
        </w:tc>
      </w:tr>
      <w:tr w:rsidR="009E6AF9" w:rsidRPr="00615322" w:rsidTr="003F1A9B">
        <w:trPr>
          <w:trHeight w:val="300"/>
        </w:trPr>
        <w:tc>
          <w:tcPr>
            <w:tcW w:w="7578" w:type="dxa"/>
            <w:shd w:val="clear" w:color="auto" w:fill="auto"/>
            <w:noWrap/>
            <w:vAlign w:val="bottom"/>
            <w:hideMark/>
          </w:tcPr>
          <w:p w:rsidR="009E6AF9" w:rsidRPr="00615322" w:rsidRDefault="009E6AF9" w:rsidP="00E01CCB">
            <w:pPr>
              <w:rPr>
                <w:rFonts w:ascii="Verdana" w:hAnsi="Verdana"/>
                <w:b/>
                <w:color w:val="000000"/>
                <w:sz w:val="22"/>
                <w:szCs w:val="22"/>
              </w:rPr>
            </w:pPr>
            <w:r w:rsidRPr="00615322">
              <w:rPr>
                <w:rFonts w:ascii="Verdana" w:hAnsi="Verdana"/>
                <w:b/>
                <w:color w:val="000000"/>
                <w:sz w:val="22"/>
                <w:szCs w:val="22"/>
              </w:rPr>
              <w:t>Total Personnel (6</w:t>
            </w:r>
            <w:r w:rsidR="00466E65">
              <w:rPr>
                <w:rFonts w:ascii="Verdana" w:hAnsi="Verdana"/>
                <w:b/>
                <w:color w:val="000000"/>
                <w:sz w:val="22"/>
                <w:szCs w:val="22"/>
              </w:rPr>
              <w:t>.</w:t>
            </w:r>
            <w:r w:rsidRPr="00615322">
              <w:rPr>
                <w:rFonts w:ascii="Verdana" w:hAnsi="Verdana"/>
                <w:b/>
                <w:color w:val="000000"/>
                <w:sz w:val="22"/>
                <w:szCs w:val="22"/>
              </w:rPr>
              <w:t>a)</w:t>
            </w:r>
          </w:p>
        </w:tc>
        <w:tc>
          <w:tcPr>
            <w:tcW w:w="1818" w:type="dxa"/>
            <w:shd w:val="clear" w:color="auto" w:fill="auto"/>
            <w:noWrap/>
            <w:vAlign w:val="bottom"/>
            <w:hideMark/>
          </w:tcPr>
          <w:p w:rsidR="009E6AF9" w:rsidRPr="00615322" w:rsidRDefault="009E6AF9" w:rsidP="00E01CCB">
            <w:pPr>
              <w:jc w:val="right"/>
              <w:rPr>
                <w:rFonts w:ascii="Verdana" w:hAnsi="Verdana"/>
                <w:b/>
                <w:color w:val="000000"/>
                <w:sz w:val="22"/>
                <w:szCs w:val="22"/>
              </w:rPr>
            </w:pPr>
            <w:r w:rsidRPr="00615322">
              <w:rPr>
                <w:rFonts w:ascii="Verdana" w:hAnsi="Verdana"/>
                <w:b/>
                <w:color w:val="000000"/>
                <w:sz w:val="22"/>
                <w:szCs w:val="22"/>
              </w:rPr>
              <w:t>$</w:t>
            </w:r>
            <w:r>
              <w:rPr>
                <w:rFonts w:ascii="Verdana" w:hAnsi="Verdana"/>
                <w:b/>
                <w:color w:val="000000"/>
                <w:sz w:val="22"/>
                <w:szCs w:val="22"/>
              </w:rPr>
              <w:t>1</w:t>
            </w:r>
            <w:r w:rsidR="00E01CCB">
              <w:rPr>
                <w:rFonts w:ascii="Verdana" w:hAnsi="Verdana"/>
                <w:b/>
                <w:color w:val="000000"/>
                <w:sz w:val="22"/>
                <w:szCs w:val="22"/>
              </w:rPr>
              <w:t>56</w:t>
            </w:r>
            <w:r>
              <w:rPr>
                <w:rFonts w:ascii="Verdana" w:hAnsi="Verdana"/>
                <w:b/>
                <w:color w:val="000000"/>
                <w:sz w:val="22"/>
                <w:szCs w:val="22"/>
              </w:rPr>
              <w:t>,</w:t>
            </w:r>
            <w:r w:rsidR="00E01CCB">
              <w:rPr>
                <w:rFonts w:ascii="Verdana" w:hAnsi="Verdana"/>
                <w:b/>
                <w:color w:val="000000"/>
                <w:sz w:val="22"/>
                <w:szCs w:val="22"/>
              </w:rPr>
              <w:t>159.25</w:t>
            </w:r>
          </w:p>
        </w:tc>
      </w:tr>
    </w:tbl>
    <w:p w:rsidR="009E6AF9" w:rsidRPr="00F04CE0" w:rsidRDefault="009E6AF9" w:rsidP="009E6AF9">
      <w:pPr>
        <w:jc w:val="both"/>
        <w:rPr>
          <w:rFonts w:ascii="Arial Narrow" w:hAnsi="Arial Narrow"/>
          <w:b/>
          <w:sz w:val="28"/>
          <w:szCs w:val="28"/>
        </w:rPr>
      </w:pPr>
    </w:p>
    <w:p w:rsidR="009E6AF9" w:rsidRPr="00CC6D65" w:rsidRDefault="009E6AF9" w:rsidP="009E6AF9">
      <w:pPr>
        <w:pBdr>
          <w:top w:val="single" w:sz="4" w:space="1" w:color="auto" w:shadow="1"/>
          <w:left w:val="single" w:sz="4" w:space="4" w:color="auto" w:shadow="1"/>
          <w:bottom w:val="single" w:sz="4" w:space="1" w:color="auto" w:shadow="1"/>
          <w:right w:val="single" w:sz="4" w:space="4" w:color="auto" w:shadow="1"/>
        </w:pBdr>
        <w:jc w:val="both"/>
        <w:rPr>
          <w:rFonts w:ascii="Verdana" w:hAnsi="Verdana"/>
          <w:b/>
          <w:sz w:val="22"/>
          <w:szCs w:val="22"/>
        </w:rPr>
      </w:pPr>
      <w:r w:rsidRPr="00CC6D65">
        <w:rPr>
          <w:rFonts w:ascii="Verdana" w:hAnsi="Verdana"/>
          <w:b/>
          <w:sz w:val="22"/>
          <w:szCs w:val="22"/>
        </w:rPr>
        <w:t>Fringe Benefits (object class category 6.b)</w:t>
      </w:r>
    </w:p>
    <w:p w:rsidR="009E6AF9" w:rsidRDefault="009E6AF9" w:rsidP="009E6AF9">
      <w:pPr>
        <w:jc w:val="both"/>
        <w:rPr>
          <w:sz w:val="28"/>
          <w:szCs w:val="28"/>
        </w:rPr>
      </w:pPr>
    </w:p>
    <w:p w:rsidR="009E6AF9" w:rsidRPr="00AE5C9C" w:rsidRDefault="009E6AF9" w:rsidP="009E6AF9">
      <w:pPr>
        <w:jc w:val="both"/>
        <w:rPr>
          <w:rFonts w:ascii="Verdana" w:hAnsi="Verdana"/>
          <w:sz w:val="22"/>
          <w:szCs w:val="22"/>
        </w:rPr>
      </w:pPr>
      <w:r w:rsidRPr="00AE5C9C">
        <w:rPr>
          <w:rFonts w:ascii="Verdana" w:hAnsi="Verdana"/>
          <w:sz w:val="22"/>
          <w:szCs w:val="22"/>
        </w:rPr>
        <w:t>In addition to adequate salaries the Hidalgo County Head Start staff receives a fringe benefit plan that is reasonable and conforms to</w:t>
      </w:r>
      <w:r w:rsidRPr="00AE5C9C">
        <w:rPr>
          <w:rFonts w:ascii="Verdana" w:hAnsi="Verdana"/>
          <w:color w:val="404040"/>
          <w:sz w:val="22"/>
          <w:szCs w:val="22"/>
        </w:rPr>
        <w:t xml:space="preserve"> </w:t>
      </w:r>
      <w:r w:rsidRPr="00AE5C9C">
        <w:rPr>
          <w:rFonts w:ascii="Verdana" w:hAnsi="Verdana"/>
          <w:sz w:val="22"/>
          <w:szCs w:val="22"/>
        </w:rPr>
        <w:t>2 CFR Part 225 Appendix B</w:t>
      </w:r>
      <w:r w:rsidRPr="00AE5C9C">
        <w:rPr>
          <w:rFonts w:ascii="Verdana" w:hAnsi="Verdana"/>
          <w:color w:val="404040"/>
          <w:sz w:val="22"/>
          <w:szCs w:val="22"/>
        </w:rPr>
        <w:t xml:space="preserve"> </w:t>
      </w:r>
      <w:r w:rsidRPr="00AE5C9C">
        <w:rPr>
          <w:rFonts w:ascii="Verdana" w:hAnsi="Verdana"/>
          <w:sz w:val="22"/>
          <w:szCs w:val="22"/>
        </w:rPr>
        <w:t>Cost Principles for State, Local, and Indian Tribal Governments (OMB Circular A-87). </w:t>
      </w:r>
    </w:p>
    <w:p w:rsidR="009E6AF9" w:rsidRPr="00AE5C9C" w:rsidRDefault="009E6AF9" w:rsidP="009E6AF9">
      <w:pPr>
        <w:jc w:val="both"/>
        <w:rPr>
          <w:rFonts w:ascii="Verdana" w:hAnsi="Verdana"/>
          <w:sz w:val="22"/>
          <w:szCs w:val="22"/>
        </w:rPr>
      </w:pPr>
    </w:p>
    <w:p w:rsidR="009E6AF9" w:rsidRPr="00AE5C9C" w:rsidRDefault="009E6AF9" w:rsidP="009E6AF9">
      <w:pPr>
        <w:jc w:val="both"/>
        <w:rPr>
          <w:rFonts w:ascii="Verdana" w:hAnsi="Verdana"/>
          <w:sz w:val="22"/>
          <w:szCs w:val="22"/>
        </w:rPr>
      </w:pPr>
      <w:r w:rsidRPr="00AE5C9C">
        <w:rPr>
          <w:rFonts w:ascii="Verdana" w:hAnsi="Verdana"/>
          <w:sz w:val="22"/>
          <w:szCs w:val="22"/>
        </w:rPr>
        <w:t xml:space="preserve">The fringe benefits costs included in this expansion application are as follows: </w:t>
      </w:r>
    </w:p>
    <w:p w:rsidR="009E6AF9" w:rsidRDefault="009E6AF9" w:rsidP="009E6AF9">
      <w:pPr>
        <w:jc w:val="both"/>
        <w:rPr>
          <w:rFonts w:ascii="Arial Narrow" w:hAnsi="Arial Narrow"/>
        </w:rPr>
      </w:pPr>
      <w:r>
        <w:rPr>
          <w:rFonts w:ascii="Arial Narrow" w:hAnsi="Arial Narrow"/>
        </w:rPr>
        <w:tab/>
      </w:r>
      <w:r>
        <w:rPr>
          <w:rFonts w:ascii="Arial Narrow" w:hAnsi="Arial Narrow"/>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00"/>
      </w:tblGrid>
      <w:tr w:rsidR="009E6AF9" w:rsidRPr="009618E2" w:rsidTr="003F1A9B">
        <w:trPr>
          <w:trHeight w:val="300"/>
        </w:trPr>
        <w:tc>
          <w:tcPr>
            <w:tcW w:w="4680" w:type="dxa"/>
            <w:shd w:val="clear" w:color="auto" w:fill="auto"/>
            <w:noWrap/>
            <w:vAlign w:val="bottom"/>
            <w:hideMark/>
          </w:tcPr>
          <w:p w:rsidR="009E6AF9" w:rsidRPr="009618E2" w:rsidRDefault="009E6AF9" w:rsidP="003F1A9B">
            <w:pPr>
              <w:rPr>
                <w:rFonts w:ascii="Verdana" w:hAnsi="Verdana"/>
                <w:b/>
                <w:color w:val="000000"/>
                <w:sz w:val="22"/>
                <w:szCs w:val="22"/>
              </w:rPr>
            </w:pPr>
            <w:r w:rsidRPr="009618E2">
              <w:rPr>
                <w:rFonts w:ascii="Verdana" w:hAnsi="Verdana"/>
                <w:b/>
                <w:color w:val="000000"/>
                <w:sz w:val="22"/>
                <w:szCs w:val="22"/>
              </w:rPr>
              <w:t>Fringe Benefit</w:t>
            </w:r>
            <w:r w:rsidR="00466E65">
              <w:rPr>
                <w:rFonts w:ascii="Verdana" w:hAnsi="Verdana"/>
                <w:b/>
                <w:color w:val="000000"/>
                <w:sz w:val="22"/>
                <w:szCs w:val="22"/>
              </w:rPr>
              <w:t>s</w:t>
            </w:r>
          </w:p>
        </w:tc>
        <w:tc>
          <w:tcPr>
            <w:tcW w:w="4500" w:type="dxa"/>
            <w:shd w:val="clear" w:color="auto" w:fill="auto"/>
            <w:noWrap/>
            <w:vAlign w:val="bottom"/>
            <w:hideMark/>
          </w:tcPr>
          <w:p w:rsidR="009E6AF9" w:rsidRPr="009618E2" w:rsidRDefault="009E6AF9" w:rsidP="003F1A9B">
            <w:pPr>
              <w:jc w:val="right"/>
              <w:rPr>
                <w:rFonts w:ascii="Verdana" w:hAnsi="Verdana"/>
                <w:b/>
                <w:color w:val="000000"/>
                <w:sz w:val="22"/>
                <w:szCs w:val="22"/>
              </w:rPr>
            </w:pPr>
            <w:r w:rsidRPr="009618E2">
              <w:rPr>
                <w:rFonts w:ascii="Verdana" w:hAnsi="Verdana"/>
                <w:b/>
                <w:color w:val="000000"/>
                <w:sz w:val="22"/>
                <w:szCs w:val="22"/>
              </w:rPr>
              <w:t>Amount</w:t>
            </w:r>
          </w:p>
        </w:tc>
      </w:tr>
      <w:tr w:rsidR="009E6AF9" w:rsidRPr="009618E2" w:rsidTr="003F1A9B">
        <w:trPr>
          <w:trHeight w:val="300"/>
        </w:trPr>
        <w:tc>
          <w:tcPr>
            <w:tcW w:w="4680" w:type="dxa"/>
            <w:shd w:val="clear" w:color="auto" w:fill="auto"/>
            <w:noWrap/>
            <w:vAlign w:val="bottom"/>
            <w:hideMark/>
          </w:tcPr>
          <w:p w:rsidR="009E6AF9" w:rsidRPr="009618E2" w:rsidRDefault="009E6AF9" w:rsidP="003F1A9B">
            <w:pPr>
              <w:rPr>
                <w:rFonts w:ascii="Verdana" w:hAnsi="Verdana"/>
                <w:color w:val="000000"/>
                <w:sz w:val="22"/>
                <w:szCs w:val="22"/>
              </w:rPr>
            </w:pPr>
            <w:r w:rsidRPr="009618E2">
              <w:rPr>
                <w:rFonts w:ascii="Verdana" w:hAnsi="Verdana"/>
                <w:color w:val="000000"/>
                <w:sz w:val="22"/>
                <w:szCs w:val="22"/>
              </w:rPr>
              <w:t>FICA</w:t>
            </w:r>
          </w:p>
        </w:tc>
        <w:tc>
          <w:tcPr>
            <w:tcW w:w="4500" w:type="dxa"/>
            <w:shd w:val="clear" w:color="auto" w:fill="auto"/>
            <w:noWrap/>
            <w:vAlign w:val="bottom"/>
            <w:hideMark/>
          </w:tcPr>
          <w:p w:rsidR="009E6AF9" w:rsidRPr="009618E2" w:rsidRDefault="009E6AF9" w:rsidP="003F1A9B">
            <w:pPr>
              <w:jc w:val="right"/>
              <w:rPr>
                <w:rFonts w:ascii="Verdana" w:hAnsi="Verdana"/>
                <w:color w:val="000000"/>
                <w:sz w:val="22"/>
                <w:szCs w:val="22"/>
              </w:rPr>
            </w:pPr>
            <w:r>
              <w:rPr>
                <w:rFonts w:ascii="Verdana" w:hAnsi="Verdana"/>
                <w:color w:val="000000"/>
                <w:sz w:val="22"/>
                <w:szCs w:val="22"/>
              </w:rPr>
              <w:t>$9,681.87</w:t>
            </w:r>
          </w:p>
        </w:tc>
      </w:tr>
      <w:tr w:rsidR="009E6AF9" w:rsidRPr="009618E2" w:rsidTr="003F1A9B">
        <w:trPr>
          <w:trHeight w:val="300"/>
        </w:trPr>
        <w:tc>
          <w:tcPr>
            <w:tcW w:w="4680" w:type="dxa"/>
            <w:shd w:val="clear" w:color="auto" w:fill="auto"/>
            <w:noWrap/>
            <w:vAlign w:val="bottom"/>
            <w:hideMark/>
          </w:tcPr>
          <w:p w:rsidR="009E6AF9" w:rsidRPr="009618E2" w:rsidRDefault="009E6AF9" w:rsidP="003F1A9B">
            <w:pPr>
              <w:rPr>
                <w:rFonts w:ascii="Verdana" w:hAnsi="Verdana"/>
                <w:color w:val="000000"/>
                <w:sz w:val="22"/>
                <w:szCs w:val="22"/>
              </w:rPr>
            </w:pPr>
            <w:r w:rsidRPr="009618E2">
              <w:rPr>
                <w:rFonts w:ascii="Verdana" w:hAnsi="Verdana"/>
                <w:color w:val="000000"/>
                <w:sz w:val="22"/>
                <w:szCs w:val="22"/>
              </w:rPr>
              <w:t>Unemployment</w:t>
            </w:r>
          </w:p>
        </w:tc>
        <w:tc>
          <w:tcPr>
            <w:tcW w:w="4500" w:type="dxa"/>
            <w:shd w:val="clear" w:color="auto" w:fill="auto"/>
            <w:noWrap/>
            <w:vAlign w:val="bottom"/>
            <w:hideMark/>
          </w:tcPr>
          <w:p w:rsidR="009E6AF9" w:rsidRPr="009618E2" w:rsidRDefault="009E6AF9" w:rsidP="003F1A9B">
            <w:pPr>
              <w:jc w:val="right"/>
              <w:rPr>
                <w:rFonts w:ascii="Verdana" w:hAnsi="Verdana"/>
                <w:color w:val="000000"/>
                <w:sz w:val="22"/>
                <w:szCs w:val="22"/>
              </w:rPr>
            </w:pPr>
            <w:r>
              <w:rPr>
                <w:rFonts w:ascii="Verdana" w:hAnsi="Verdana"/>
                <w:color w:val="000000"/>
                <w:sz w:val="22"/>
                <w:szCs w:val="22"/>
              </w:rPr>
              <w:t>$999.42</w:t>
            </w:r>
          </w:p>
        </w:tc>
      </w:tr>
      <w:tr w:rsidR="009E6AF9" w:rsidRPr="009618E2" w:rsidTr="003F1A9B">
        <w:trPr>
          <w:trHeight w:val="300"/>
        </w:trPr>
        <w:tc>
          <w:tcPr>
            <w:tcW w:w="4680" w:type="dxa"/>
            <w:shd w:val="clear" w:color="auto" w:fill="auto"/>
            <w:noWrap/>
            <w:vAlign w:val="bottom"/>
            <w:hideMark/>
          </w:tcPr>
          <w:p w:rsidR="009E6AF9" w:rsidRPr="009618E2" w:rsidRDefault="009E6AF9" w:rsidP="003F1A9B">
            <w:pPr>
              <w:rPr>
                <w:rFonts w:ascii="Verdana" w:hAnsi="Verdana"/>
                <w:color w:val="000000"/>
                <w:sz w:val="22"/>
                <w:szCs w:val="22"/>
              </w:rPr>
            </w:pPr>
            <w:r>
              <w:rPr>
                <w:rFonts w:ascii="Verdana" w:hAnsi="Verdana"/>
                <w:color w:val="000000"/>
                <w:sz w:val="22"/>
                <w:szCs w:val="22"/>
              </w:rPr>
              <w:t>Worker’s Comp</w:t>
            </w:r>
          </w:p>
        </w:tc>
        <w:tc>
          <w:tcPr>
            <w:tcW w:w="4500" w:type="dxa"/>
            <w:shd w:val="clear" w:color="auto" w:fill="auto"/>
            <w:noWrap/>
            <w:vAlign w:val="bottom"/>
            <w:hideMark/>
          </w:tcPr>
          <w:p w:rsidR="009E6AF9" w:rsidRPr="009618E2" w:rsidRDefault="009E6AF9" w:rsidP="003F1A9B">
            <w:pPr>
              <w:jc w:val="right"/>
              <w:rPr>
                <w:rFonts w:ascii="Verdana" w:hAnsi="Verdana"/>
                <w:color w:val="000000"/>
                <w:sz w:val="22"/>
                <w:szCs w:val="22"/>
              </w:rPr>
            </w:pPr>
            <w:r>
              <w:rPr>
                <w:rFonts w:ascii="Verdana" w:hAnsi="Verdana"/>
                <w:color w:val="000000"/>
                <w:sz w:val="22"/>
                <w:szCs w:val="22"/>
              </w:rPr>
              <w:t>0</w:t>
            </w:r>
          </w:p>
        </w:tc>
      </w:tr>
      <w:tr w:rsidR="009E6AF9" w:rsidRPr="009618E2" w:rsidTr="003F1A9B">
        <w:trPr>
          <w:trHeight w:val="300"/>
        </w:trPr>
        <w:tc>
          <w:tcPr>
            <w:tcW w:w="4680" w:type="dxa"/>
            <w:shd w:val="clear" w:color="auto" w:fill="auto"/>
            <w:noWrap/>
            <w:vAlign w:val="bottom"/>
            <w:hideMark/>
          </w:tcPr>
          <w:p w:rsidR="009E6AF9" w:rsidRPr="009618E2" w:rsidRDefault="009E6AF9" w:rsidP="003F1A9B">
            <w:pPr>
              <w:rPr>
                <w:rFonts w:ascii="Verdana" w:hAnsi="Verdana"/>
                <w:color w:val="000000"/>
                <w:sz w:val="22"/>
                <w:szCs w:val="22"/>
              </w:rPr>
            </w:pPr>
            <w:r w:rsidRPr="009618E2">
              <w:rPr>
                <w:rFonts w:ascii="Verdana" w:hAnsi="Verdana"/>
                <w:color w:val="000000"/>
                <w:sz w:val="22"/>
                <w:szCs w:val="22"/>
              </w:rPr>
              <w:t>Pension</w:t>
            </w:r>
          </w:p>
        </w:tc>
        <w:tc>
          <w:tcPr>
            <w:tcW w:w="4500" w:type="dxa"/>
            <w:shd w:val="clear" w:color="auto" w:fill="auto"/>
            <w:noWrap/>
            <w:vAlign w:val="bottom"/>
            <w:hideMark/>
          </w:tcPr>
          <w:p w:rsidR="009E6AF9" w:rsidRPr="009618E2" w:rsidRDefault="009E6AF9" w:rsidP="003F1A9B">
            <w:pPr>
              <w:jc w:val="right"/>
              <w:rPr>
                <w:rFonts w:ascii="Verdana" w:hAnsi="Verdana"/>
                <w:color w:val="000000"/>
                <w:sz w:val="22"/>
                <w:szCs w:val="22"/>
              </w:rPr>
            </w:pPr>
            <w:r>
              <w:rPr>
                <w:rFonts w:ascii="Verdana" w:hAnsi="Verdana"/>
                <w:color w:val="000000"/>
                <w:sz w:val="22"/>
                <w:szCs w:val="22"/>
              </w:rPr>
              <w:t>$10,931.15</w:t>
            </w:r>
          </w:p>
        </w:tc>
      </w:tr>
      <w:tr w:rsidR="009E6AF9" w:rsidRPr="009618E2" w:rsidTr="003F1A9B">
        <w:trPr>
          <w:trHeight w:val="300"/>
        </w:trPr>
        <w:tc>
          <w:tcPr>
            <w:tcW w:w="4680" w:type="dxa"/>
            <w:shd w:val="clear" w:color="auto" w:fill="auto"/>
            <w:noWrap/>
            <w:vAlign w:val="bottom"/>
            <w:hideMark/>
          </w:tcPr>
          <w:p w:rsidR="009E6AF9" w:rsidRPr="009618E2" w:rsidRDefault="009E6AF9" w:rsidP="003F1A9B">
            <w:pPr>
              <w:rPr>
                <w:rFonts w:ascii="Verdana" w:hAnsi="Verdana"/>
                <w:color w:val="000000"/>
                <w:sz w:val="22"/>
                <w:szCs w:val="22"/>
              </w:rPr>
            </w:pPr>
            <w:r w:rsidRPr="009618E2">
              <w:rPr>
                <w:rFonts w:ascii="Verdana" w:hAnsi="Verdana"/>
                <w:color w:val="000000"/>
                <w:sz w:val="22"/>
                <w:szCs w:val="22"/>
              </w:rPr>
              <w:t>Medicare</w:t>
            </w:r>
          </w:p>
        </w:tc>
        <w:tc>
          <w:tcPr>
            <w:tcW w:w="4500" w:type="dxa"/>
            <w:shd w:val="clear" w:color="auto" w:fill="auto"/>
            <w:noWrap/>
            <w:vAlign w:val="bottom"/>
            <w:hideMark/>
          </w:tcPr>
          <w:p w:rsidR="009E6AF9" w:rsidRPr="009618E2" w:rsidRDefault="009E6AF9" w:rsidP="003F1A9B">
            <w:pPr>
              <w:jc w:val="right"/>
              <w:rPr>
                <w:rFonts w:ascii="Verdana" w:hAnsi="Verdana"/>
                <w:color w:val="000000"/>
                <w:sz w:val="22"/>
                <w:szCs w:val="22"/>
              </w:rPr>
            </w:pPr>
            <w:r>
              <w:rPr>
                <w:rFonts w:ascii="Verdana" w:hAnsi="Verdana"/>
                <w:color w:val="000000"/>
                <w:sz w:val="22"/>
                <w:szCs w:val="22"/>
              </w:rPr>
              <w:t>$2,264.31</w:t>
            </w:r>
          </w:p>
        </w:tc>
      </w:tr>
      <w:tr w:rsidR="009E6AF9" w:rsidRPr="009618E2" w:rsidTr="009E6AF9">
        <w:trPr>
          <w:trHeight w:val="300"/>
        </w:trPr>
        <w:tc>
          <w:tcPr>
            <w:tcW w:w="4680" w:type="dxa"/>
            <w:shd w:val="clear" w:color="auto" w:fill="auto"/>
            <w:noWrap/>
            <w:vAlign w:val="bottom"/>
          </w:tcPr>
          <w:p w:rsidR="009E6AF9" w:rsidRPr="009618E2" w:rsidRDefault="009E6AF9" w:rsidP="003F1A9B">
            <w:pPr>
              <w:rPr>
                <w:rFonts w:ascii="Verdana" w:hAnsi="Verdana"/>
                <w:color w:val="000000"/>
                <w:sz w:val="22"/>
                <w:szCs w:val="22"/>
              </w:rPr>
            </w:pPr>
            <w:r w:rsidRPr="009618E2">
              <w:rPr>
                <w:rFonts w:ascii="Verdana" w:hAnsi="Verdana"/>
                <w:b/>
                <w:color w:val="000000"/>
                <w:sz w:val="22"/>
                <w:szCs w:val="22"/>
              </w:rPr>
              <w:t>Total</w:t>
            </w:r>
            <w:r w:rsidR="00466E65">
              <w:rPr>
                <w:rFonts w:ascii="Verdana" w:hAnsi="Verdana"/>
                <w:b/>
                <w:color w:val="000000"/>
                <w:sz w:val="22"/>
                <w:szCs w:val="22"/>
              </w:rPr>
              <w:t xml:space="preserve"> Fringe Benefits (6.b)</w:t>
            </w:r>
            <w:r w:rsidRPr="009618E2">
              <w:rPr>
                <w:rFonts w:ascii="Verdana" w:hAnsi="Verdana"/>
                <w:b/>
                <w:color w:val="000000"/>
                <w:sz w:val="22"/>
                <w:szCs w:val="22"/>
              </w:rPr>
              <w:t xml:space="preserve"> </w:t>
            </w:r>
          </w:p>
        </w:tc>
        <w:tc>
          <w:tcPr>
            <w:tcW w:w="4500" w:type="dxa"/>
            <w:shd w:val="clear" w:color="auto" w:fill="auto"/>
            <w:noWrap/>
            <w:vAlign w:val="bottom"/>
          </w:tcPr>
          <w:p w:rsidR="009E6AF9" w:rsidRPr="00466E65" w:rsidRDefault="009E6AF9" w:rsidP="003F1A9B">
            <w:pPr>
              <w:jc w:val="right"/>
              <w:rPr>
                <w:rFonts w:ascii="Verdana" w:hAnsi="Verdana"/>
                <w:b/>
                <w:color w:val="000000"/>
                <w:sz w:val="22"/>
                <w:szCs w:val="22"/>
              </w:rPr>
            </w:pPr>
            <w:r w:rsidRPr="00466E65">
              <w:rPr>
                <w:rFonts w:ascii="Verdana" w:hAnsi="Verdana"/>
                <w:b/>
                <w:color w:val="000000"/>
                <w:sz w:val="22"/>
                <w:szCs w:val="22"/>
              </w:rPr>
              <w:t>$23,876.75</w:t>
            </w:r>
          </w:p>
        </w:tc>
      </w:tr>
    </w:tbl>
    <w:p w:rsidR="009E6AF9" w:rsidRDefault="009E6AF9" w:rsidP="004139E3">
      <w:pPr>
        <w:jc w:val="both"/>
        <w:rPr>
          <w:rFonts w:ascii="Verdana" w:hAnsi="Verdana"/>
          <w:sz w:val="22"/>
          <w:szCs w:val="22"/>
          <w:u w:val="single"/>
        </w:rPr>
      </w:pPr>
    </w:p>
    <w:tbl>
      <w:tblPr>
        <w:tblStyle w:val="TableGrid"/>
        <w:tblpPr w:leftFromText="180" w:rightFromText="180" w:vertAnchor="text" w:horzAnchor="page" w:tblpX="1833" w:tblpY="120"/>
        <w:tblW w:w="0" w:type="auto"/>
        <w:tblLook w:val="04A0" w:firstRow="1" w:lastRow="0" w:firstColumn="1" w:lastColumn="0" w:noHBand="0" w:noVBand="1"/>
      </w:tblPr>
      <w:tblGrid>
        <w:gridCol w:w="6354"/>
        <w:gridCol w:w="3024"/>
      </w:tblGrid>
      <w:tr w:rsidR="009E6AF9" w:rsidRPr="001F5CDD" w:rsidTr="003F1A9B">
        <w:tc>
          <w:tcPr>
            <w:tcW w:w="6354" w:type="dxa"/>
          </w:tcPr>
          <w:p w:rsidR="009E6AF9" w:rsidRPr="001F5CDD" w:rsidRDefault="009E6AF9" w:rsidP="003F1A9B">
            <w:pPr>
              <w:jc w:val="both"/>
              <w:rPr>
                <w:rFonts w:ascii="Verdana" w:hAnsi="Verdana"/>
                <w:b/>
              </w:rPr>
            </w:pPr>
            <w:r>
              <w:rPr>
                <w:rFonts w:ascii="Verdana" w:hAnsi="Verdana"/>
                <w:b/>
              </w:rPr>
              <w:t>COLA Total</w:t>
            </w:r>
          </w:p>
        </w:tc>
        <w:tc>
          <w:tcPr>
            <w:tcW w:w="3024" w:type="dxa"/>
          </w:tcPr>
          <w:p w:rsidR="009E6AF9" w:rsidRPr="001F5CDD" w:rsidRDefault="009E6AF9" w:rsidP="009E6AF9">
            <w:pPr>
              <w:jc w:val="right"/>
              <w:rPr>
                <w:rFonts w:ascii="Verdana" w:hAnsi="Verdana"/>
                <w:b/>
              </w:rPr>
            </w:pPr>
            <w:r w:rsidRPr="001F5CDD">
              <w:rPr>
                <w:rFonts w:ascii="Verdana" w:hAnsi="Verdana"/>
                <w:b/>
              </w:rPr>
              <w:t>$</w:t>
            </w:r>
            <w:r>
              <w:rPr>
                <w:rFonts w:ascii="Verdana" w:hAnsi="Verdana"/>
                <w:b/>
              </w:rPr>
              <w:t>180,036</w:t>
            </w:r>
            <w:r w:rsidR="00466E65">
              <w:rPr>
                <w:rFonts w:ascii="Verdana" w:hAnsi="Verdana"/>
                <w:b/>
              </w:rPr>
              <w:t>.00</w:t>
            </w:r>
          </w:p>
        </w:tc>
      </w:tr>
    </w:tbl>
    <w:p w:rsidR="009E6AF9" w:rsidRDefault="009E6AF9" w:rsidP="004139E3">
      <w:pPr>
        <w:jc w:val="both"/>
        <w:rPr>
          <w:rFonts w:ascii="Verdana" w:hAnsi="Verdana"/>
          <w:sz w:val="22"/>
          <w:szCs w:val="22"/>
          <w:u w:val="single"/>
        </w:rPr>
      </w:pPr>
    </w:p>
    <w:p w:rsidR="009E6AF9" w:rsidRDefault="009E6AF9" w:rsidP="004139E3">
      <w:pPr>
        <w:jc w:val="both"/>
        <w:rPr>
          <w:rFonts w:ascii="Verdana" w:hAnsi="Verdana"/>
          <w:sz w:val="22"/>
          <w:szCs w:val="22"/>
          <w:u w:val="single"/>
        </w:rPr>
      </w:pPr>
    </w:p>
    <w:tbl>
      <w:tblPr>
        <w:tblStyle w:val="TableGrid"/>
        <w:tblpPr w:leftFromText="180" w:rightFromText="180" w:vertAnchor="text" w:horzAnchor="page" w:tblpX="1823" w:tblpY="71"/>
        <w:tblW w:w="0" w:type="auto"/>
        <w:tblBorders>
          <w:top w:val="single" w:sz="24" w:space="0" w:color="auto"/>
          <w:left w:val="single" w:sz="24" w:space="0" w:color="auto"/>
          <w:bottom w:val="single" w:sz="24" w:space="0" w:color="auto"/>
          <w:right w:val="single" w:sz="24" w:space="0" w:color="auto"/>
          <w:insideH w:val="single" w:sz="36" w:space="0" w:color="auto"/>
          <w:insideV w:val="single" w:sz="36" w:space="0" w:color="auto"/>
        </w:tblBorders>
        <w:tblLook w:val="04A0" w:firstRow="1" w:lastRow="0" w:firstColumn="1" w:lastColumn="0" w:noHBand="0" w:noVBand="1"/>
      </w:tblPr>
      <w:tblGrid>
        <w:gridCol w:w="9378"/>
      </w:tblGrid>
      <w:tr w:rsidR="0011386B" w:rsidTr="004F1983">
        <w:tc>
          <w:tcPr>
            <w:tcW w:w="9378" w:type="dxa"/>
          </w:tcPr>
          <w:p w:rsidR="0011386B" w:rsidRPr="00845BE0" w:rsidRDefault="001F5CDD" w:rsidP="004F1983">
            <w:pPr>
              <w:jc w:val="both"/>
              <w:rPr>
                <w:rFonts w:ascii="Verdana" w:hAnsi="Verdana"/>
                <w:b/>
                <w:sz w:val="22"/>
                <w:szCs w:val="22"/>
              </w:rPr>
            </w:pPr>
            <w:r>
              <w:rPr>
                <w:rFonts w:ascii="Verdana" w:hAnsi="Verdana"/>
                <w:b/>
              </w:rPr>
              <w:t>TOTAL FEDERAL SHARE</w:t>
            </w:r>
            <w:r w:rsidR="0011386B">
              <w:rPr>
                <w:rFonts w:ascii="Verdana" w:hAnsi="Verdana"/>
                <w:b/>
                <w:sz w:val="22"/>
                <w:szCs w:val="22"/>
              </w:rPr>
              <w:t xml:space="preserve">                                         </w:t>
            </w:r>
            <w:r>
              <w:rPr>
                <w:rFonts w:ascii="Verdana" w:hAnsi="Verdana"/>
                <w:b/>
                <w:sz w:val="22"/>
                <w:szCs w:val="22"/>
              </w:rPr>
              <w:t xml:space="preserve">                </w:t>
            </w:r>
            <w:r w:rsidR="004F1983" w:rsidRPr="001F5CDD">
              <w:rPr>
                <w:rFonts w:ascii="Verdana" w:hAnsi="Verdana"/>
                <w:b/>
              </w:rPr>
              <w:t>$406,986.00</w:t>
            </w:r>
          </w:p>
        </w:tc>
      </w:tr>
    </w:tbl>
    <w:p w:rsidR="001F5CDD" w:rsidRDefault="001F5CDD" w:rsidP="00782989">
      <w:pPr>
        <w:jc w:val="both"/>
        <w:rPr>
          <w:rFonts w:ascii="Verdana" w:hAnsi="Verdana"/>
          <w:sz w:val="22"/>
          <w:szCs w:val="22"/>
        </w:rPr>
      </w:pPr>
    </w:p>
    <w:p w:rsidR="006E2F44" w:rsidRPr="00FA2745" w:rsidRDefault="006E2F44" w:rsidP="00782989">
      <w:pPr>
        <w:jc w:val="both"/>
        <w:rPr>
          <w:rFonts w:ascii="Verdana" w:hAnsi="Verdana"/>
          <w:b/>
          <w:sz w:val="22"/>
          <w:szCs w:val="22"/>
          <w:u w:val="double"/>
        </w:rPr>
      </w:pPr>
    </w:p>
    <w:p w:rsidR="0058690E" w:rsidRPr="004F1983" w:rsidRDefault="0058690E" w:rsidP="0058690E">
      <w:pPr>
        <w:pBdr>
          <w:top w:val="single" w:sz="4" w:space="0" w:color="auto" w:shadow="1"/>
          <w:left w:val="single" w:sz="4" w:space="4" w:color="auto" w:shadow="1"/>
          <w:bottom w:val="single" w:sz="4" w:space="1" w:color="auto" w:shadow="1"/>
          <w:right w:val="single" w:sz="4" w:space="4" w:color="auto" w:shadow="1"/>
        </w:pBdr>
        <w:jc w:val="center"/>
        <w:rPr>
          <w:rFonts w:ascii="Verdana" w:hAnsi="Verdana"/>
          <w:b/>
        </w:rPr>
      </w:pPr>
      <w:r w:rsidRPr="004F1983">
        <w:rPr>
          <w:rFonts w:ascii="Verdana" w:hAnsi="Verdana"/>
          <w:b/>
        </w:rPr>
        <w:t xml:space="preserve">Budget </w:t>
      </w:r>
      <w:r w:rsidR="008E1A29" w:rsidRPr="004F1983">
        <w:rPr>
          <w:rFonts w:ascii="Verdana" w:hAnsi="Verdana"/>
          <w:b/>
        </w:rPr>
        <w:t>Narrative</w:t>
      </w:r>
      <w:r w:rsidRPr="004F1983">
        <w:rPr>
          <w:rFonts w:ascii="Verdana" w:hAnsi="Verdana"/>
          <w:b/>
        </w:rPr>
        <w:t xml:space="preserve">-Non-Federal Share </w:t>
      </w:r>
    </w:p>
    <w:p w:rsidR="0058690E" w:rsidRDefault="0058690E" w:rsidP="0058690E">
      <w:pPr>
        <w:jc w:val="both"/>
        <w:rPr>
          <w:sz w:val="28"/>
          <w:szCs w:val="28"/>
        </w:rPr>
      </w:pPr>
    </w:p>
    <w:p w:rsidR="008A5E5D" w:rsidRDefault="0058690E" w:rsidP="008A5E5D">
      <w:pPr>
        <w:jc w:val="both"/>
        <w:rPr>
          <w:rFonts w:ascii="Verdana" w:hAnsi="Verdana"/>
          <w:sz w:val="22"/>
          <w:szCs w:val="22"/>
        </w:rPr>
      </w:pPr>
      <w:r w:rsidRPr="008A5E5D">
        <w:rPr>
          <w:rFonts w:ascii="Verdana" w:hAnsi="Verdana"/>
          <w:sz w:val="22"/>
          <w:szCs w:val="22"/>
        </w:rPr>
        <w:t>The following are the proposed Non-Federal Resources to be provided by The Hidalgo County Head Start Program.  The listed resources meet the requirements for In-Kind contribution as per 2 CFR Part 225 Appendix B</w:t>
      </w:r>
      <w:r w:rsidRPr="008A5E5D">
        <w:rPr>
          <w:rFonts w:ascii="Verdana" w:hAnsi="Verdana"/>
          <w:color w:val="404040"/>
          <w:sz w:val="22"/>
          <w:szCs w:val="22"/>
        </w:rPr>
        <w:t xml:space="preserve"> </w:t>
      </w:r>
      <w:r w:rsidRPr="008A5E5D">
        <w:rPr>
          <w:rFonts w:ascii="Verdana" w:hAnsi="Verdana"/>
          <w:sz w:val="22"/>
          <w:szCs w:val="22"/>
        </w:rPr>
        <w:t>Cost Principles for State, Local, and Indian Tribal Governments (OMB Circular A-87)</w:t>
      </w:r>
      <w:r w:rsidR="008A5E5D" w:rsidRPr="008A5E5D">
        <w:rPr>
          <w:rFonts w:ascii="Verdana" w:hAnsi="Verdana"/>
          <w:sz w:val="22"/>
          <w:szCs w:val="22"/>
        </w:rPr>
        <w:t>.</w:t>
      </w:r>
    </w:p>
    <w:p w:rsidR="005B1707" w:rsidRDefault="005B1707" w:rsidP="008A5E5D">
      <w:pPr>
        <w:jc w:val="both"/>
        <w:rPr>
          <w:rFonts w:ascii="Verdana" w:hAnsi="Verdana"/>
          <w:sz w:val="22"/>
          <w:szCs w:val="22"/>
        </w:rPr>
      </w:pPr>
    </w:p>
    <w:p w:rsidR="008A5E5D" w:rsidRDefault="008A5E5D" w:rsidP="008A5E5D">
      <w:pPr>
        <w:jc w:val="both"/>
        <w:rPr>
          <w:rFonts w:ascii="Verdana" w:hAnsi="Verdana"/>
          <w:sz w:val="22"/>
          <w:szCs w:val="22"/>
        </w:rPr>
      </w:pPr>
      <w:r>
        <w:rPr>
          <w:rFonts w:ascii="Verdana" w:hAnsi="Verdana"/>
          <w:sz w:val="22"/>
          <w:szCs w:val="22"/>
        </w:rPr>
        <w:t>T</w:t>
      </w:r>
      <w:r w:rsidRPr="008A5E5D">
        <w:rPr>
          <w:rFonts w:ascii="Verdana" w:hAnsi="Verdana"/>
          <w:sz w:val="22"/>
          <w:szCs w:val="22"/>
        </w:rPr>
        <w:t xml:space="preserve">he School Readiness Partnerships </w:t>
      </w:r>
      <w:r>
        <w:rPr>
          <w:rFonts w:ascii="Verdana" w:hAnsi="Verdana"/>
          <w:sz w:val="22"/>
          <w:szCs w:val="22"/>
        </w:rPr>
        <w:t xml:space="preserve">continues to grow as it </w:t>
      </w:r>
      <w:r w:rsidRPr="008A5E5D">
        <w:rPr>
          <w:rFonts w:ascii="Verdana" w:hAnsi="Verdana"/>
          <w:sz w:val="22"/>
          <w:szCs w:val="22"/>
        </w:rPr>
        <w:t>supplement</w:t>
      </w:r>
      <w:r>
        <w:rPr>
          <w:rFonts w:ascii="Verdana" w:hAnsi="Verdana"/>
          <w:sz w:val="22"/>
          <w:szCs w:val="22"/>
        </w:rPr>
        <w:t>s</w:t>
      </w:r>
      <w:r w:rsidRPr="008A5E5D">
        <w:rPr>
          <w:rFonts w:ascii="Verdana" w:hAnsi="Verdana"/>
          <w:sz w:val="22"/>
          <w:szCs w:val="22"/>
        </w:rPr>
        <w:t xml:space="preserve"> and enrich</w:t>
      </w:r>
      <w:r>
        <w:rPr>
          <w:rFonts w:ascii="Verdana" w:hAnsi="Verdana"/>
          <w:sz w:val="22"/>
          <w:szCs w:val="22"/>
        </w:rPr>
        <w:t>es Head Start services</w:t>
      </w:r>
      <w:r w:rsidR="005B1707">
        <w:rPr>
          <w:rFonts w:ascii="Verdana" w:hAnsi="Verdana"/>
          <w:sz w:val="22"/>
          <w:szCs w:val="22"/>
        </w:rPr>
        <w:t xml:space="preserve"> by</w:t>
      </w:r>
      <w:r w:rsidRPr="008A5E5D">
        <w:rPr>
          <w:rFonts w:ascii="Verdana" w:hAnsi="Verdana"/>
          <w:sz w:val="22"/>
          <w:szCs w:val="22"/>
        </w:rPr>
        <w:t xml:space="preserve"> providing certified bilingual teacher</w:t>
      </w:r>
      <w:r w:rsidR="005B1707">
        <w:rPr>
          <w:rFonts w:ascii="Verdana" w:hAnsi="Verdana"/>
          <w:sz w:val="22"/>
          <w:szCs w:val="22"/>
        </w:rPr>
        <w:t>s</w:t>
      </w:r>
      <w:r w:rsidRPr="008A5E5D">
        <w:rPr>
          <w:rFonts w:ascii="Verdana" w:hAnsi="Verdana"/>
          <w:sz w:val="22"/>
          <w:szCs w:val="22"/>
        </w:rPr>
        <w:t xml:space="preserve"> in 15 classrooms</w:t>
      </w:r>
      <w:r w:rsidR="005B1707">
        <w:rPr>
          <w:rFonts w:ascii="Verdana" w:hAnsi="Verdana"/>
          <w:sz w:val="22"/>
          <w:szCs w:val="22"/>
        </w:rPr>
        <w:t>. It also</w:t>
      </w:r>
      <w:r w:rsidRPr="008A5E5D">
        <w:rPr>
          <w:rFonts w:ascii="Verdana" w:hAnsi="Verdana"/>
          <w:sz w:val="22"/>
          <w:szCs w:val="22"/>
        </w:rPr>
        <w:t xml:space="preserve"> supplement</w:t>
      </w:r>
      <w:r w:rsidR="005B1707">
        <w:rPr>
          <w:rFonts w:ascii="Verdana" w:hAnsi="Verdana"/>
          <w:sz w:val="22"/>
          <w:szCs w:val="22"/>
        </w:rPr>
        <w:t>s</w:t>
      </w:r>
      <w:r w:rsidRPr="008A5E5D">
        <w:rPr>
          <w:rFonts w:ascii="Verdana" w:hAnsi="Verdana"/>
          <w:sz w:val="22"/>
          <w:szCs w:val="22"/>
        </w:rPr>
        <w:t xml:space="preserve"> program staff resources including instructional materials and staff development.  The Program will expand to more classrooms in 2009-2010.</w:t>
      </w:r>
    </w:p>
    <w:p w:rsidR="00BB2EC9" w:rsidRPr="008A5E5D" w:rsidRDefault="00BB2EC9" w:rsidP="008A5E5D">
      <w:pPr>
        <w:jc w:val="both"/>
        <w:rPr>
          <w:rFonts w:ascii="Verdana" w:hAnsi="Verdana"/>
          <w:sz w:val="22"/>
          <w:szCs w:val="22"/>
        </w:rPr>
      </w:pPr>
    </w:p>
    <w:tbl>
      <w:tblPr>
        <w:tblW w:w="8894" w:type="dxa"/>
        <w:tblInd w:w="18" w:type="dxa"/>
        <w:tblLook w:val="0000" w:firstRow="0" w:lastRow="0" w:firstColumn="0" w:lastColumn="0" w:noHBand="0" w:noVBand="0"/>
      </w:tblPr>
      <w:tblGrid>
        <w:gridCol w:w="2714"/>
        <w:gridCol w:w="2660"/>
        <w:gridCol w:w="1920"/>
        <w:gridCol w:w="1600"/>
      </w:tblGrid>
      <w:tr w:rsidR="00BB2EC9" w:rsidTr="005C3B96">
        <w:trPr>
          <w:trHeight w:val="300"/>
        </w:trPr>
        <w:tc>
          <w:tcPr>
            <w:tcW w:w="88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B2EC9" w:rsidRPr="00BB2EC9" w:rsidRDefault="00BB2EC9" w:rsidP="00BB2EC9">
            <w:pPr>
              <w:rPr>
                <w:rFonts w:ascii="Verdana" w:hAnsi="Verdana" w:cs="Arial"/>
                <w:b/>
              </w:rPr>
            </w:pPr>
            <w:r>
              <w:rPr>
                <w:rFonts w:ascii="Verdana" w:hAnsi="Verdana" w:cs="Arial"/>
                <w:b/>
              </w:rPr>
              <w:t>Personnel (Object class category 6.a</w:t>
            </w:r>
          </w:p>
        </w:tc>
      </w:tr>
      <w:tr w:rsidR="0058690E" w:rsidTr="00BB2EC9">
        <w:trPr>
          <w:trHeight w:val="300"/>
        </w:trPr>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Volunteer</w:t>
            </w:r>
          </w:p>
        </w:tc>
        <w:tc>
          <w:tcPr>
            <w:tcW w:w="2660" w:type="dxa"/>
            <w:tcBorders>
              <w:top w:val="single" w:sz="4" w:space="0" w:color="auto"/>
              <w:left w:val="nil"/>
              <w:bottom w:val="single" w:sz="4" w:space="0" w:color="auto"/>
              <w:right w:val="single" w:sz="4" w:space="0" w:color="auto"/>
            </w:tcBorders>
            <w:shd w:val="clear" w:color="auto" w:fill="auto"/>
            <w:vAlign w:val="center"/>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Service Provided</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Rate</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Value</w:t>
            </w:r>
          </w:p>
        </w:tc>
      </w:tr>
      <w:tr w:rsidR="0058690E" w:rsidTr="00BB2EC9">
        <w:trPr>
          <w:trHeight w:val="765"/>
        </w:trPr>
        <w:tc>
          <w:tcPr>
            <w:tcW w:w="2714" w:type="dxa"/>
            <w:tcBorders>
              <w:top w:val="nil"/>
              <w:left w:val="single" w:sz="4" w:space="0" w:color="auto"/>
              <w:bottom w:val="single" w:sz="4" w:space="0" w:color="auto"/>
              <w:right w:val="single" w:sz="4" w:space="0" w:color="auto"/>
            </w:tcBorders>
            <w:shd w:val="clear" w:color="auto" w:fill="auto"/>
            <w:vAlign w:val="center"/>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School teachers  under the School Readiness Program</w:t>
            </w:r>
          </w:p>
        </w:tc>
        <w:tc>
          <w:tcPr>
            <w:tcW w:w="2660" w:type="dxa"/>
            <w:tcBorders>
              <w:top w:val="nil"/>
              <w:left w:val="nil"/>
              <w:bottom w:val="single" w:sz="4" w:space="0" w:color="auto"/>
              <w:right w:val="single" w:sz="4" w:space="0" w:color="auto"/>
            </w:tcBorders>
            <w:shd w:val="clear" w:color="auto" w:fill="auto"/>
            <w:vAlign w:val="center"/>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Classroom instructions  to our children</w:t>
            </w:r>
          </w:p>
        </w:tc>
        <w:tc>
          <w:tcPr>
            <w:tcW w:w="1920" w:type="dxa"/>
            <w:tcBorders>
              <w:top w:val="nil"/>
              <w:left w:val="nil"/>
              <w:bottom w:val="single" w:sz="4" w:space="0" w:color="auto"/>
              <w:right w:val="single" w:sz="4" w:space="0" w:color="auto"/>
            </w:tcBorders>
            <w:shd w:val="clear" w:color="auto" w:fill="auto"/>
            <w:vAlign w:val="center"/>
          </w:tcPr>
          <w:p w:rsidR="0058690E" w:rsidRPr="004F1983" w:rsidRDefault="00BB2EC9" w:rsidP="009618E2">
            <w:pPr>
              <w:jc w:val="center"/>
              <w:rPr>
                <w:rFonts w:ascii="Verdana" w:hAnsi="Verdana" w:cs="Arial"/>
                <w:sz w:val="22"/>
                <w:szCs w:val="22"/>
              </w:rPr>
            </w:pPr>
            <w:r w:rsidRPr="004F1983">
              <w:rPr>
                <w:rFonts w:ascii="Verdana" w:hAnsi="Verdana" w:cs="Arial"/>
                <w:sz w:val="22"/>
                <w:szCs w:val="22"/>
              </w:rPr>
              <w:t>6</w:t>
            </w:r>
            <w:r w:rsidR="00CE2919" w:rsidRPr="004F1983">
              <w:rPr>
                <w:rFonts w:ascii="Verdana" w:hAnsi="Verdana" w:cs="Arial"/>
                <w:sz w:val="22"/>
                <w:szCs w:val="22"/>
              </w:rPr>
              <w:t xml:space="preserve"> </w:t>
            </w:r>
            <w:r w:rsidR="0058690E" w:rsidRPr="004F1983">
              <w:rPr>
                <w:rFonts w:ascii="Verdana" w:hAnsi="Verdana" w:cs="Arial"/>
                <w:sz w:val="22"/>
                <w:szCs w:val="22"/>
              </w:rPr>
              <w:t>teachers X $302.33/day</w:t>
            </w:r>
          </w:p>
          <w:p w:rsidR="0058690E" w:rsidRPr="004F1983" w:rsidRDefault="00BB2EC9" w:rsidP="009618E2">
            <w:pPr>
              <w:jc w:val="center"/>
              <w:rPr>
                <w:rFonts w:ascii="Verdana" w:hAnsi="Verdana" w:cs="Arial"/>
                <w:sz w:val="22"/>
                <w:szCs w:val="22"/>
              </w:rPr>
            </w:pPr>
            <w:r w:rsidRPr="004F1983">
              <w:rPr>
                <w:rFonts w:ascii="Verdana" w:hAnsi="Verdana" w:cs="Arial"/>
                <w:sz w:val="22"/>
                <w:szCs w:val="22"/>
              </w:rPr>
              <w:t xml:space="preserve"> X 53</w:t>
            </w:r>
            <w:r w:rsidR="0058690E" w:rsidRPr="004F1983">
              <w:rPr>
                <w:rFonts w:ascii="Verdana" w:hAnsi="Verdana" w:cs="Arial"/>
                <w:sz w:val="22"/>
                <w:szCs w:val="22"/>
              </w:rPr>
              <w:t xml:space="preserve"> days</w:t>
            </w:r>
          </w:p>
        </w:tc>
        <w:tc>
          <w:tcPr>
            <w:tcW w:w="1600" w:type="dxa"/>
            <w:tcBorders>
              <w:top w:val="nil"/>
              <w:left w:val="nil"/>
              <w:bottom w:val="single" w:sz="4" w:space="0" w:color="auto"/>
              <w:right w:val="single" w:sz="4" w:space="0" w:color="auto"/>
            </w:tcBorders>
            <w:shd w:val="clear" w:color="auto" w:fill="auto"/>
            <w:vAlign w:val="center"/>
          </w:tcPr>
          <w:p w:rsidR="0058690E" w:rsidRPr="004F1983" w:rsidRDefault="0058690E" w:rsidP="00BB2EC9">
            <w:pPr>
              <w:jc w:val="center"/>
              <w:rPr>
                <w:rFonts w:ascii="Verdana" w:hAnsi="Verdana" w:cs="Arial"/>
                <w:sz w:val="22"/>
                <w:szCs w:val="22"/>
              </w:rPr>
            </w:pPr>
            <w:r w:rsidRPr="004F1983">
              <w:rPr>
                <w:rFonts w:ascii="Verdana" w:hAnsi="Verdana" w:cs="Arial"/>
                <w:sz w:val="22"/>
                <w:szCs w:val="22"/>
              </w:rPr>
              <w:t>$</w:t>
            </w:r>
            <w:r w:rsidR="00BB2EC9" w:rsidRPr="004F1983">
              <w:rPr>
                <w:rFonts w:ascii="Verdana" w:hAnsi="Verdana" w:cs="Arial"/>
                <w:sz w:val="22"/>
                <w:szCs w:val="22"/>
              </w:rPr>
              <w:t>96,141.00</w:t>
            </w:r>
          </w:p>
        </w:tc>
      </w:tr>
      <w:tr w:rsidR="00F8772B" w:rsidTr="00BB2EC9">
        <w:trPr>
          <w:trHeight w:val="765"/>
        </w:trPr>
        <w:tc>
          <w:tcPr>
            <w:tcW w:w="2714" w:type="dxa"/>
            <w:tcBorders>
              <w:top w:val="nil"/>
              <w:left w:val="single" w:sz="4" w:space="0" w:color="auto"/>
              <w:bottom w:val="single" w:sz="4" w:space="0" w:color="auto"/>
              <w:right w:val="single" w:sz="4" w:space="0" w:color="auto"/>
            </w:tcBorders>
            <w:shd w:val="clear" w:color="auto" w:fill="auto"/>
            <w:vAlign w:val="center"/>
          </w:tcPr>
          <w:p w:rsidR="00F8772B" w:rsidRPr="004F1983" w:rsidRDefault="00F8772B" w:rsidP="0032265F">
            <w:pPr>
              <w:jc w:val="center"/>
              <w:rPr>
                <w:rFonts w:ascii="Verdana" w:hAnsi="Verdana" w:cs="Arial"/>
                <w:sz w:val="22"/>
                <w:szCs w:val="22"/>
              </w:rPr>
            </w:pPr>
            <w:r w:rsidRPr="004F1983">
              <w:rPr>
                <w:rFonts w:ascii="Verdana" w:hAnsi="Verdana" w:cs="Arial"/>
                <w:sz w:val="22"/>
                <w:szCs w:val="22"/>
              </w:rPr>
              <w:t>Classroom Assistants</w:t>
            </w:r>
          </w:p>
        </w:tc>
        <w:tc>
          <w:tcPr>
            <w:tcW w:w="2660" w:type="dxa"/>
            <w:tcBorders>
              <w:top w:val="nil"/>
              <w:left w:val="nil"/>
              <w:bottom w:val="single" w:sz="4" w:space="0" w:color="auto"/>
              <w:right w:val="single" w:sz="4" w:space="0" w:color="auto"/>
            </w:tcBorders>
            <w:shd w:val="clear" w:color="auto" w:fill="auto"/>
            <w:vAlign w:val="center"/>
          </w:tcPr>
          <w:p w:rsidR="00F8772B" w:rsidRPr="004F1983" w:rsidRDefault="00F8772B" w:rsidP="0032265F">
            <w:pPr>
              <w:jc w:val="center"/>
              <w:rPr>
                <w:rFonts w:ascii="Verdana" w:hAnsi="Verdana" w:cs="Arial"/>
                <w:sz w:val="22"/>
                <w:szCs w:val="22"/>
              </w:rPr>
            </w:pPr>
            <w:r w:rsidRPr="004F1983">
              <w:rPr>
                <w:rFonts w:ascii="Verdana" w:hAnsi="Verdana" w:cs="Arial"/>
                <w:sz w:val="22"/>
                <w:szCs w:val="22"/>
              </w:rPr>
              <w:t>Read stories, toileting, playground &amp; lunchroom supervision</w:t>
            </w:r>
          </w:p>
        </w:tc>
        <w:tc>
          <w:tcPr>
            <w:tcW w:w="1920" w:type="dxa"/>
            <w:tcBorders>
              <w:top w:val="nil"/>
              <w:left w:val="nil"/>
              <w:bottom w:val="single" w:sz="4" w:space="0" w:color="auto"/>
              <w:right w:val="single" w:sz="4" w:space="0" w:color="auto"/>
            </w:tcBorders>
            <w:shd w:val="clear" w:color="auto" w:fill="auto"/>
            <w:vAlign w:val="center"/>
          </w:tcPr>
          <w:p w:rsidR="00F8772B" w:rsidRPr="004F1983" w:rsidRDefault="00F8772B" w:rsidP="00F8772B">
            <w:pPr>
              <w:jc w:val="center"/>
              <w:rPr>
                <w:rFonts w:ascii="Verdana" w:hAnsi="Verdana" w:cs="Arial"/>
                <w:sz w:val="22"/>
                <w:szCs w:val="22"/>
              </w:rPr>
            </w:pPr>
            <w:r w:rsidRPr="004F1983">
              <w:rPr>
                <w:rFonts w:ascii="Verdana" w:hAnsi="Verdana" w:cs="Arial"/>
                <w:sz w:val="22"/>
                <w:szCs w:val="22"/>
              </w:rPr>
              <w:t>6</w:t>
            </w:r>
            <w:r w:rsidR="00823F9E" w:rsidRPr="004F1983">
              <w:rPr>
                <w:rFonts w:ascii="Verdana" w:hAnsi="Verdana" w:cs="Arial"/>
                <w:sz w:val="22"/>
                <w:szCs w:val="22"/>
              </w:rPr>
              <w:t xml:space="preserve"> </w:t>
            </w:r>
            <w:r w:rsidR="00BB2EC9" w:rsidRPr="004F1983">
              <w:rPr>
                <w:rFonts w:ascii="Verdana" w:hAnsi="Verdana" w:cs="Arial"/>
                <w:sz w:val="22"/>
                <w:szCs w:val="22"/>
              </w:rPr>
              <w:t xml:space="preserve">volunteers X 12.26 X 13 weeks X </w:t>
            </w:r>
            <w:r w:rsidRPr="004F1983">
              <w:rPr>
                <w:rFonts w:ascii="Verdana" w:hAnsi="Verdana" w:cs="Arial"/>
                <w:sz w:val="22"/>
                <w:szCs w:val="22"/>
              </w:rPr>
              <w:t>5 hours</w:t>
            </w:r>
          </w:p>
        </w:tc>
        <w:tc>
          <w:tcPr>
            <w:tcW w:w="1600" w:type="dxa"/>
            <w:tcBorders>
              <w:top w:val="nil"/>
              <w:left w:val="nil"/>
              <w:bottom w:val="single" w:sz="4" w:space="0" w:color="auto"/>
              <w:right w:val="single" w:sz="4" w:space="0" w:color="auto"/>
            </w:tcBorders>
            <w:shd w:val="clear" w:color="auto" w:fill="auto"/>
            <w:vAlign w:val="center"/>
          </w:tcPr>
          <w:p w:rsidR="00F8772B" w:rsidRPr="004F1983" w:rsidRDefault="00F8772B" w:rsidP="00F8772B">
            <w:pPr>
              <w:jc w:val="center"/>
              <w:rPr>
                <w:rFonts w:ascii="Verdana" w:hAnsi="Verdana" w:cs="Arial"/>
                <w:sz w:val="22"/>
                <w:szCs w:val="22"/>
              </w:rPr>
            </w:pPr>
            <w:r w:rsidRPr="004F1983">
              <w:rPr>
                <w:rFonts w:ascii="Verdana" w:hAnsi="Verdana" w:cs="Arial"/>
                <w:sz w:val="22"/>
                <w:szCs w:val="22"/>
              </w:rPr>
              <w:t>$</w:t>
            </w:r>
            <w:r w:rsidR="00BB2EC9" w:rsidRPr="004F1983">
              <w:rPr>
                <w:rFonts w:ascii="Verdana" w:hAnsi="Verdana" w:cs="Arial"/>
                <w:sz w:val="22"/>
                <w:szCs w:val="22"/>
              </w:rPr>
              <w:t>4,781.00</w:t>
            </w:r>
          </w:p>
        </w:tc>
      </w:tr>
    </w:tbl>
    <w:p w:rsidR="008908BA" w:rsidRPr="00836C22" w:rsidRDefault="008908BA" w:rsidP="006E2F44">
      <w:pPr>
        <w:jc w:val="both"/>
        <w:rPr>
          <w:sz w:val="28"/>
          <w:szCs w:val="28"/>
        </w:rPr>
      </w:pPr>
    </w:p>
    <w:tbl>
      <w:tblPr>
        <w:tblW w:w="8894" w:type="dxa"/>
        <w:tblInd w:w="18" w:type="dxa"/>
        <w:tblLook w:val="0000" w:firstRow="0" w:lastRow="0" w:firstColumn="0" w:lastColumn="0" w:noHBand="0" w:noVBand="0"/>
      </w:tblPr>
      <w:tblGrid>
        <w:gridCol w:w="2714"/>
        <w:gridCol w:w="2660"/>
        <w:gridCol w:w="1920"/>
        <w:gridCol w:w="1600"/>
      </w:tblGrid>
      <w:tr w:rsidR="00BB2EC9" w:rsidTr="00BB2EC9">
        <w:trPr>
          <w:trHeight w:val="255"/>
        </w:trPr>
        <w:tc>
          <w:tcPr>
            <w:tcW w:w="88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B2EC9" w:rsidRPr="00BB2EC9" w:rsidRDefault="00BB2EC9" w:rsidP="00BB2EC9">
            <w:pPr>
              <w:rPr>
                <w:rFonts w:ascii="Verdana" w:hAnsi="Verdana" w:cs="Arial"/>
                <w:b/>
              </w:rPr>
            </w:pPr>
            <w:r w:rsidRPr="00BB2EC9">
              <w:rPr>
                <w:rFonts w:ascii="Verdana" w:hAnsi="Verdana" w:cs="Arial"/>
                <w:b/>
              </w:rPr>
              <w:t>Supplies (Object class category 6.a</w:t>
            </w:r>
          </w:p>
        </w:tc>
      </w:tr>
      <w:tr w:rsidR="0058690E" w:rsidTr="00BB2EC9">
        <w:trPr>
          <w:trHeight w:val="255"/>
        </w:trPr>
        <w:tc>
          <w:tcPr>
            <w:tcW w:w="27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Used</w:t>
            </w:r>
          </w:p>
        </w:tc>
        <w:tc>
          <w:tcPr>
            <w:tcW w:w="2660" w:type="dxa"/>
            <w:tcBorders>
              <w:top w:val="single" w:sz="4" w:space="0" w:color="auto"/>
              <w:left w:val="nil"/>
              <w:bottom w:val="single" w:sz="4" w:space="0" w:color="auto"/>
              <w:right w:val="single" w:sz="4" w:space="0" w:color="auto"/>
            </w:tcBorders>
            <w:shd w:val="clear" w:color="auto" w:fill="auto"/>
            <w:vAlign w:val="center"/>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Donation</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Rate</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58690E" w:rsidRPr="004F1983" w:rsidRDefault="0058690E" w:rsidP="009618E2">
            <w:pPr>
              <w:jc w:val="center"/>
              <w:rPr>
                <w:rFonts w:ascii="Verdana" w:hAnsi="Verdana" w:cs="Arial"/>
                <w:sz w:val="22"/>
                <w:szCs w:val="22"/>
              </w:rPr>
            </w:pPr>
            <w:r w:rsidRPr="004F1983">
              <w:rPr>
                <w:rFonts w:ascii="Verdana" w:hAnsi="Verdana" w:cs="Arial"/>
                <w:sz w:val="22"/>
                <w:szCs w:val="22"/>
              </w:rPr>
              <w:t>Value</w:t>
            </w:r>
          </w:p>
        </w:tc>
      </w:tr>
      <w:tr w:rsidR="00005003" w:rsidTr="00005003">
        <w:trPr>
          <w:trHeight w:val="510"/>
        </w:trPr>
        <w:tc>
          <w:tcPr>
            <w:tcW w:w="2714" w:type="dxa"/>
            <w:tcBorders>
              <w:top w:val="nil"/>
              <w:left w:val="single" w:sz="4" w:space="0" w:color="auto"/>
              <w:bottom w:val="single" w:sz="4" w:space="0" w:color="auto"/>
              <w:right w:val="single" w:sz="4" w:space="0" w:color="auto"/>
            </w:tcBorders>
            <w:shd w:val="clear" w:color="auto" w:fill="auto"/>
            <w:noWrap/>
            <w:vAlign w:val="center"/>
          </w:tcPr>
          <w:p w:rsidR="00005003" w:rsidRPr="004F1983" w:rsidRDefault="00005003" w:rsidP="00005003">
            <w:pPr>
              <w:jc w:val="center"/>
              <w:rPr>
                <w:rFonts w:ascii="Verdana" w:hAnsi="Verdana" w:cs="Arial"/>
                <w:sz w:val="22"/>
                <w:szCs w:val="22"/>
              </w:rPr>
            </w:pPr>
            <w:r w:rsidRPr="004F1983">
              <w:rPr>
                <w:rFonts w:ascii="Verdana" w:hAnsi="Verdana" w:cs="Arial"/>
                <w:sz w:val="22"/>
                <w:szCs w:val="22"/>
              </w:rPr>
              <w:t>C</w:t>
            </w:r>
            <w:r>
              <w:rPr>
                <w:rFonts w:ascii="Verdana" w:hAnsi="Verdana" w:cs="Arial"/>
                <w:sz w:val="22"/>
                <w:szCs w:val="22"/>
              </w:rPr>
              <w:t>lassroom</w:t>
            </w:r>
          </w:p>
        </w:tc>
        <w:tc>
          <w:tcPr>
            <w:tcW w:w="2660" w:type="dxa"/>
            <w:tcBorders>
              <w:top w:val="nil"/>
              <w:left w:val="nil"/>
              <w:bottom w:val="single" w:sz="4" w:space="0" w:color="auto"/>
              <w:right w:val="single" w:sz="4" w:space="0" w:color="auto"/>
            </w:tcBorders>
            <w:shd w:val="clear" w:color="auto" w:fill="auto"/>
            <w:vAlign w:val="center"/>
          </w:tcPr>
          <w:p w:rsidR="00005003" w:rsidRPr="004F1983" w:rsidRDefault="00005003" w:rsidP="009618E2">
            <w:pPr>
              <w:jc w:val="center"/>
              <w:rPr>
                <w:rFonts w:ascii="Verdana" w:hAnsi="Verdana" w:cs="Arial"/>
                <w:sz w:val="22"/>
                <w:szCs w:val="22"/>
              </w:rPr>
            </w:pPr>
            <w:r w:rsidRPr="004F1983">
              <w:rPr>
                <w:rFonts w:ascii="Verdana" w:hAnsi="Verdana" w:cs="Arial"/>
                <w:sz w:val="22"/>
                <w:szCs w:val="22"/>
              </w:rPr>
              <w:t>Consumable (paper, art supplies, books and</w:t>
            </w:r>
          </w:p>
        </w:tc>
        <w:tc>
          <w:tcPr>
            <w:tcW w:w="1920" w:type="dxa"/>
            <w:tcBorders>
              <w:top w:val="nil"/>
              <w:left w:val="nil"/>
              <w:bottom w:val="single" w:sz="4" w:space="0" w:color="auto"/>
              <w:right w:val="single" w:sz="4" w:space="0" w:color="auto"/>
            </w:tcBorders>
            <w:shd w:val="clear" w:color="auto" w:fill="auto"/>
            <w:vAlign w:val="center"/>
          </w:tcPr>
          <w:p w:rsidR="00005003" w:rsidRPr="004F1983" w:rsidRDefault="00005003" w:rsidP="0058690E">
            <w:pPr>
              <w:jc w:val="center"/>
              <w:rPr>
                <w:rFonts w:ascii="Verdana" w:hAnsi="Verdana" w:cs="Arial"/>
                <w:sz w:val="22"/>
                <w:szCs w:val="22"/>
              </w:rPr>
            </w:pPr>
            <w:r w:rsidRPr="004F1983">
              <w:rPr>
                <w:rFonts w:ascii="Verdana" w:hAnsi="Verdana" w:cs="Arial"/>
                <w:sz w:val="22"/>
                <w:szCs w:val="22"/>
              </w:rPr>
              <w:t>N/A</w:t>
            </w:r>
          </w:p>
        </w:tc>
        <w:tc>
          <w:tcPr>
            <w:tcW w:w="1600" w:type="dxa"/>
            <w:tcBorders>
              <w:top w:val="nil"/>
              <w:left w:val="nil"/>
              <w:bottom w:val="single" w:sz="4" w:space="0" w:color="auto"/>
              <w:right w:val="single" w:sz="4" w:space="0" w:color="auto"/>
            </w:tcBorders>
            <w:shd w:val="clear" w:color="auto" w:fill="auto"/>
            <w:noWrap/>
            <w:vAlign w:val="center"/>
          </w:tcPr>
          <w:p w:rsidR="00005003" w:rsidRPr="004F1983" w:rsidRDefault="00005003" w:rsidP="00005003">
            <w:pPr>
              <w:jc w:val="center"/>
              <w:rPr>
                <w:rFonts w:ascii="Verdana" w:hAnsi="Verdana" w:cs="Arial"/>
                <w:sz w:val="22"/>
                <w:szCs w:val="22"/>
              </w:rPr>
            </w:pPr>
            <w:r w:rsidRPr="004F1983">
              <w:rPr>
                <w:rFonts w:ascii="Verdana" w:hAnsi="Verdana" w:cs="Arial"/>
                <w:sz w:val="22"/>
                <w:szCs w:val="22"/>
              </w:rPr>
              <w:t>$</w:t>
            </w:r>
            <w:r>
              <w:rPr>
                <w:rFonts w:ascii="Verdana" w:hAnsi="Verdana" w:cs="Arial"/>
                <w:sz w:val="22"/>
                <w:szCs w:val="22"/>
              </w:rPr>
              <w:t>825.00</w:t>
            </w:r>
          </w:p>
        </w:tc>
      </w:tr>
    </w:tbl>
    <w:p w:rsidR="0058690E" w:rsidRDefault="0058690E" w:rsidP="0058690E">
      <w:pPr>
        <w:jc w:val="center"/>
        <w:rPr>
          <w:sz w:val="28"/>
          <w:szCs w:val="28"/>
        </w:rPr>
      </w:pPr>
    </w:p>
    <w:p w:rsidR="0058690E" w:rsidRPr="00F67E27" w:rsidRDefault="0058690E" w:rsidP="0058690E">
      <w:pPr>
        <w:ind w:left="1440" w:firstLine="720"/>
        <w:rPr>
          <w:b/>
          <w:sz w:val="28"/>
          <w:szCs w:val="28"/>
        </w:rPr>
      </w:pPr>
      <w:r>
        <w:rPr>
          <w:b/>
          <w:sz w:val="28"/>
          <w:szCs w:val="28"/>
        </w:rPr>
        <w:t xml:space="preserve">   </w:t>
      </w:r>
    </w:p>
    <w:tbl>
      <w:tblPr>
        <w:tblStyle w:val="TableGrid"/>
        <w:tblW w:w="0" w:type="auto"/>
        <w:tblInd w:w="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10"/>
      </w:tblGrid>
      <w:tr w:rsidR="0006725C" w:rsidTr="004F1983">
        <w:tc>
          <w:tcPr>
            <w:tcW w:w="8910" w:type="dxa"/>
          </w:tcPr>
          <w:p w:rsidR="0006725C" w:rsidRPr="001F5CDD" w:rsidRDefault="001F5CDD" w:rsidP="00823395">
            <w:pPr>
              <w:rPr>
                <w:rFonts w:ascii="Verdana" w:hAnsi="Verdana"/>
                <w:b/>
              </w:rPr>
            </w:pPr>
            <w:r>
              <w:rPr>
                <w:rFonts w:ascii="Verdana" w:hAnsi="Verdana"/>
                <w:b/>
              </w:rPr>
              <w:t>TOTAL NON-FEDERAL</w:t>
            </w:r>
            <w:r w:rsidR="00881549">
              <w:rPr>
                <w:rFonts w:ascii="Verdana" w:hAnsi="Verdana"/>
                <w:b/>
              </w:rPr>
              <w:t xml:space="preserve">: </w:t>
            </w:r>
            <w:r>
              <w:rPr>
                <w:rFonts w:ascii="Verdana" w:hAnsi="Verdana"/>
                <w:b/>
              </w:rPr>
              <w:t xml:space="preserve">IN-KIND                      </w:t>
            </w:r>
            <w:r w:rsidR="00881549">
              <w:rPr>
                <w:rFonts w:ascii="Verdana" w:hAnsi="Verdana"/>
                <w:b/>
              </w:rPr>
              <w:t xml:space="preserve">           </w:t>
            </w:r>
            <w:r w:rsidR="00F17243" w:rsidRPr="001F5CDD">
              <w:rPr>
                <w:rFonts w:ascii="Verdana" w:hAnsi="Verdana"/>
                <w:b/>
              </w:rPr>
              <w:t>$101,747.00</w:t>
            </w:r>
          </w:p>
        </w:tc>
      </w:tr>
    </w:tbl>
    <w:p w:rsidR="0006725C" w:rsidRDefault="0006725C" w:rsidP="008908BA">
      <w:pPr>
        <w:ind w:left="1440" w:firstLine="720"/>
        <w:rPr>
          <w:b/>
          <w:sz w:val="28"/>
          <w:szCs w:val="28"/>
        </w:rPr>
      </w:pPr>
    </w:p>
    <w:tbl>
      <w:tblPr>
        <w:tblStyle w:val="TableGrid"/>
        <w:tblW w:w="0" w:type="auto"/>
        <w:tblInd w:w="1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910"/>
      </w:tblGrid>
      <w:tr w:rsidR="0006725C" w:rsidTr="001F5CDD">
        <w:tc>
          <w:tcPr>
            <w:tcW w:w="8910" w:type="dxa"/>
          </w:tcPr>
          <w:p w:rsidR="0006725C" w:rsidRPr="001F5CDD" w:rsidRDefault="001F5CDD" w:rsidP="00466E65">
            <w:pPr>
              <w:rPr>
                <w:rFonts w:ascii="Verdana" w:hAnsi="Verdana"/>
                <w:b/>
              </w:rPr>
            </w:pPr>
            <w:r>
              <w:rPr>
                <w:rFonts w:ascii="Verdana" w:hAnsi="Verdana"/>
                <w:b/>
              </w:rPr>
              <w:t>APPLICATION</w:t>
            </w:r>
            <w:r w:rsidR="00E01729" w:rsidRPr="001F5CDD">
              <w:rPr>
                <w:rFonts w:ascii="Verdana" w:hAnsi="Verdana"/>
                <w:b/>
              </w:rPr>
              <w:t xml:space="preserve"> </w:t>
            </w:r>
            <w:r>
              <w:rPr>
                <w:rFonts w:ascii="Verdana" w:hAnsi="Verdana"/>
                <w:b/>
              </w:rPr>
              <w:t xml:space="preserve">GRAND TOTAL               </w:t>
            </w:r>
            <w:r w:rsidR="00E01729" w:rsidRPr="001F5CDD">
              <w:rPr>
                <w:rFonts w:ascii="Verdana" w:hAnsi="Verdana"/>
                <w:b/>
              </w:rPr>
              <w:t xml:space="preserve">          </w:t>
            </w:r>
            <w:r>
              <w:rPr>
                <w:rFonts w:ascii="Verdana" w:hAnsi="Verdana"/>
                <w:b/>
              </w:rPr>
              <w:t xml:space="preserve">            </w:t>
            </w:r>
            <w:r w:rsidR="0006725C" w:rsidRPr="001F5CDD">
              <w:rPr>
                <w:rFonts w:ascii="Verdana" w:hAnsi="Verdana"/>
                <w:b/>
              </w:rPr>
              <w:t>$</w:t>
            </w:r>
            <w:r w:rsidR="00466E65">
              <w:rPr>
                <w:rFonts w:ascii="Verdana" w:hAnsi="Verdana"/>
                <w:b/>
              </w:rPr>
              <w:t>5</w:t>
            </w:r>
            <w:r w:rsidR="00F17243" w:rsidRPr="001F5CDD">
              <w:rPr>
                <w:rFonts w:ascii="Verdana" w:hAnsi="Verdana"/>
                <w:b/>
              </w:rPr>
              <w:t>0</w:t>
            </w:r>
            <w:r w:rsidR="00466E65">
              <w:rPr>
                <w:rFonts w:ascii="Verdana" w:hAnsi="Verdana"/>
                <w:b/>
              </w:rPr>
              <w:t>8</w:t>
            </w:r>
            <w:r w:rsidR="00F17243" w:rsidRPr="001F5CDD">
              <w:rPr>
                <w:rFonts w:ascii="Verdana" w:hAnsi="Verdana"/>
                <w:b/>
              </w:rPr>
              <w:t>,</w:t>
            </w:r>
            <w:r w:rsidR="00466E65">
              <w:rPr>
                <w:rFonts w:ascii="Verdana" w:hAnsi="Verdana"/>
                <w:b/>
              </w:rPr>
              <w:t>733</w:t>
            </w:r>
            <w:r w:rsidR="00F17243" w:rsidRPr="001F5CDD">
              <w:rPr>
                <w:rFonts w:ascii="Verdana" w:hAnsi="Verdana"/>
                <w:b/>
              </w:rPr>
              <w:t>.00</w:t>
            </w:r>
          </w:p>
        </w:tc>
      </w:tr>
    </w:tbl>
    <w:p w:rsidR="00FA1090" w:rsidRPr="00E65394" w:rsidRDefault="00FA1090" w:rsidP="00E65394">
      <w:pPr>
        <w:rPr>
          <w:b/>
          <w:sz w:val="16"/>
          <w:szCs w:val="16"/>
        </w:rPr>
      </w:pPr>
    </w:p>
    <w:sectPr w:rsidR="00FA1090" w:rsidRPr="00E65394" w:rsidSect="0006725C">
      <w:headerReference w:type="default" r:id="rId9"/>
      <w:footerReference w:type="default" r:id="rId10"/>
      <w:pgSz w:w="12240" w:h="15840"/>
      <w:pgMar w:top="129" w:right="1260" w:bottom="630" w:left="1800" w:header="36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0B" w:rsidRDefault="00DA380B">
      <w:r>
        <w:separator/>
      </w:r>
    </w:p>
  </w:endnote>
  <w:endnote w:type="continuationSeparator" w:id="0">
    <w:p w:rsidR="00DA380B" w:rsidRDefault="00DA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4"/>
      <w:gridCol w:w="8422"/>
    </w:tblGrid>
    <w:tr w:rsidR="006F4981" w:rsidTr="003E1B9D">
      <w:tc>
        <w:tcPr>
          <w:tcW w:w="918" w:type="dxa"/>
        </w:tcPr>
        <w:p w:rsidR="006F4981" w:rsidRDefault="006F4981" w:rsidP="003E1B9D">
          <w:pPr>
            <w:pStyle w:val="Footer"/>
            <w:jc w:val="right"/>
            <w:rPr>
              <w:b/>
              <w:color w:val="4F81BD" w:themeColor="accent1"/>
              <w:sz w:val="32"/>
              <w:szCs w:val="32"/>
            </w:rPr>
          </w:pPr>
          <w:r>
            <w:fldChar w:fldCharType="begin"/>
          </w:r>
          <w:r>
            <w:instrText xml:space="preserve"> PAGE   \* MERGEFORMAT </w:instrText>
          </w:r>
          <w:r>
            <w:fldChar w:fldCharType="separate"/>
          </w:r>
          <w:r w:rsidR="00B7733F" w:rsidRPr="00B7733F">
            <w:rPr>
              <w:b/>
              <w:noProof/>
              <w:color w:val="4F81BD" w:themeColor="accent1"/>
              <w:sz w:val="32"/>
              <w:szCs w:val="32"/>
            </w:rPr>
            <w:t>1</w:t>
          </w:r>
          <w:r>
            <w:fldChar w:fldCharType="end"/>
          </w:r>
        </w:p>
      </w:tc>
      <w:tc>
        <w:tcPr>
          <w:tcW w:w="7938" w:type="dxa"/>
        </w:tcPr>
        <w:p w:rsidR="006F4981" w:rsidRDefault="006F4981" w:rsidP="003E1B9D">
          <w:pPr>
            <w:pStyle w:val="Footer"/>
          </w:pPr>
        </w:p>
      </w:tc>
    </w:tr>
  </w:tbl>
  <w:p w:rsidR="006F4981" w:rsidRDefault="006F4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0B" w:rsidRDefault="00DA380B">
      <w:r>
        <w:separator/>
      </w:r>
    </w:p>
  </w:footnote>
  <w:footnote w:type="continuationSeparator" w:id="0">
    <w:p w:rsidR="00DA380B" w:rsidRDefault="00DA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E2" w:rsidRPr="004139E3" w:rsidRDefault="009618E2" w:rsidP="00A93610">
    <w:pPr>
      <w:ind w:left="-900"/>
      <w:jc w:val="cent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30D"/>
    <w:multiLevelType w:val="hybridMultilevel"/>
    <w:tmpl w:val="F82663F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6002E"/>
    <w:multiLevelType w:val="hybridMultilevel"/>
    <w:tmpl w:val="C4D0E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135715"/>
    <w:multiLevelType w:val="hybridMultilevel"/>
    <w:tmpl w:val="32040C4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4287AEE"/>
    <w:multiLevelType w:val="hybridMultilevel"/>
    <w:tmpl w:val="DE5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C5F26"/>
    <w:multiLevelType w:val="hybridMultilevel"/>
    <w:tmpl w:val="FB22CB92"/>
    <w:lvl w:ilvl="0" w:tplc="6DF0EFB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E1474C"/>
    <w:multiLevelType w:val="hybridMultilevel"/>
    <w:tmpl w:val="2F065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283AC0"/>
    <w:multiLevelType w:val="hybridMultilevel"/>
    <w:tmpl w:val="436845CE"/>
    <w:lvl w:ilvl="0" w:tplc="2466DC36">
      <w:start w:val="1"/>
      <w:numFmt w:val="bullet"/>
      <w:lvlText w:val=""/>
      <w:lvlJc w:val="left"/>
      <w:pPr>
        <w:tabs>
          <w:tab w:val="num" w:pos="540"/>
        </w:tabs>
        <w:ind w:left="540" w:hanging="54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42AC7539"/>
    <w:multiLevelType w:val="hybridMultilevel"/>
    <w:tmpl w:val="1C52F40A"/>
    <w:lvl w:ilvl="0" w:tplc="1F4AE23E">
      <w:start w:val="4"/>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F04CB3"/>
    <w:multiLevelType w:val="hybridMultilevel"/>
    <w:tmpl w:val="2894052A"/>
    <w:lvl w:ilvl="0" w:tplc="04090001">
      <w:start w:val="1"/>
      <w:numFmt w:val="bullet"/>
      <w:lvlText w:val=""/>
      <w:lvlJc w:val="left"/>
      <w:pPr>
        <w:ind w:left="1020" w:hanging="10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AF6214"/>
    <w:multiLevelType w:val="hybridMultilevel"/>
    <w:tmpl w:val="96F60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5300E65"/>
    <w:multiLevelType w:val="hybridMultilevel"/>
    <w:tmpl w:val="00A4E21A"/>
    <w:lvl w:ilvl="0" w:tplc="7486B89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6F3004"/>
    <w:multiLevelType w:val="hybridMultilevel"/>
    <w:tmpl w:val="7B12D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1A61A3"/>
    <w:multiLevelType w:val="hybridMultilevel"/>
    <w:tmpl w:val="D41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923032"/>
    <w:multiLevelType w:val="hybridMultilevel"/>
    <w:tmpl w:val="9C7E25BC"/>
    <w:lvl w:ilvl="0" w:tplc="9FCCE1BC">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EB70D1F"/>
    <w:multiLevelType w:val="hybridMultilevel"/>
    <w:tmpl w:val="3880D4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5"/>
  </w:num>
  <w:num w:numId="3">
    <w:abstractNumId w:val="1"/>
  </w:num>
  <w:num w:numId="4">
    <w:abstractNumId w:val="2"/>
  </w:num>
  <w:num w:numId="5">
    <w:abstractNumId w:val="6"/>
  </w:num>
  <w:num w:numId="6">
    <w:abstractNumId w:val="10"/>
  </w:num>
  <w:num w:numId="7">
    <w:abstractNumId w:val="8"/>
  </w:num>
  <w:num w:numId="8">
    <w:abstractNumId w:val="4"/>
  </w:num>
  <w:num w:numId="9">
    <w:abstractNumId w:val="7"/>
  </w:num>
  <w:num w:numId="10">
    <w:abstractNumId w:val="14"/>
  </w:num>
  <w:num w:numId="11">
    <w:abstractNumId w:val="9"/>
  </w:num>
  <w:num w:numId="12">
    <w:abstractNumId w:val="0"/>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16"/>
    <w:rsid w:val="00005003"/>
    <w:rsid w:val="00007B1A"/>
    <w:rsid w:val="00014FFB"/>
    <w:rsid w:val="00025621"/>
    <w:rsid w:val="000266F8"/>
    <w:rsid w:val="00026F85"/>
    <w:rsid w:val="00032AE3"/>
    <w:rsid w:val="000349C0"/>
    <w:rsid w:val="00041DC8"/>
    <w:rsid w:val="000443D4"/>
    <w:rsid w:val="00044831"/>
    <w:rsid w:val="00053EFE"/>
    <w:rsid w:val="00056163"/>
    <w:rsid w:val="000577CC"/>
    <w:rsid w:val="0006321D"/>
    <w:rsid w:val="0006725C"/>
    <w:rsid w:val="00073EF9"/>
    <w:rsid w:val="0008436D"/>
    <w:rsid w:val="000910D4"/>
    <w:rsid w:val="00091FD2"/>
    <w:rsid w:val="000A32B2"/>
    <w:rsid w:val="000B10BD"/>
    <w:rsid w:val="000B5CCD"/>
    <w:rsid w:val="000B67E4"/>
    <w:rsid w:val="000C641F"/>
    <w:rsid w:val="000D0851"/>
    <w:rsid w:val="000D5A02"/>
    <w:rsid w:val="000D5CDD"/>
    <w:rsid w:val="000D786C"/>
    <w:rsid w:val="000E085E"/>
    <w:rsid w:val="000E1F3B"/>
    <w:rsid w:val="000E6A7D"/>
    <w:rsid w:val="000E7A52"/>
    <w:rsid w:val="00112AE7"/>
    <w:rsid w:val="0011386B"/>
    <w:rsid w:val="00116B82"/>
    <w:rsid w:val="00116E47"/>
    <w:rsid w:val="00120B66"/>
    <w:rsid w:val="00122662"/>
    <w:rsid w:val="0012314E"/>
    <w:rsid w:val="00127D5E"/>
    <w:rsid w:val="001318DF"/>
    <w:rsid w:val="0014157D"/>
    <w:rsid w:val="00141F48"/>
    <w:rsid w:val="00144D79"/>
    <w:rsid w:val="00153B35"/>
    <w:rsid w:val="00156FAA"/>
    <w:rsid w:val="0017088A"/>
    <w:rsid w:val="00183C81"/>
    <w:rsid w:val="001863D2"/>
    <w:rsid w:val="00191D18"/>
    <w:rsid w:val="00192BB7"/>
    <w:rsid w:val="0019774B"/>
    <w:rsid w:val="001A164E"/>
    <w:rsid w:val="001B2491"/>
    <w:rsid w:val="001B346B"/>
    <w:rsid w:val="001B56A7"/>
    <w:rsid w:val="001C37C1"/>
    <w:rsid w:val="001C6B3F"/>
    <w:rsid w:val="001D1814"/>
    <w:rsid w:val="001D228A"/>
    <w:rsid w:val="001D74A5"/>
    <w:rsid w:val="001E035D"/>
    <w:rsid w:val="001E24E1"/>
    <w:rsid w:val="001E3202"/>
    <w:rsid w:val="001E6FA6"/>
    <w:rsid w:val="001F3BCC"/>
    <w:rsid w:val="001F5CDD"/>
    <w:rsid w:val="00201FCE"/>
    <w:rsid w:val="0020220B"/>
    <w:rsid w:val="00207823"/>
    <w:rsid w:val="0021046F"/>
    <w:rsid w:val="0021318D"/>
    <w:rsid w:val="00220FA4"/>
    <w:rsid w:val="002233AD"/>
    <w:rsid w:val="002233F4"/>
    <w:rsid w:val="00231519"/>
    <w:rsid w:val="002379B2"/>
    <w:rsid w:val="0024025B"/>
    <w:rsid w:val="00244AD8"/>
    <w:rsid w:val="0025688C"/>
    <w:rsid w:val="002577DB"/>
    <w:rsid w:val="00265297"/>
    <w:rsid w:val="00272E93"/>
    <w:rsid w:val="00290497"/>
    <w:rsid w:val="002A17CA"/>
    <w:rsid w:val="002A18D2"/>
    <w:rsid w:val="002A348F"/>
    <w:rsid w:val="002B0196"/>
    <w:rsid w:val="002B1241"/>
    <w:rsid w:val="002B65CA"/>
    <w:rsid w:val="002B68CD"/>
    <w:rsid w:val="002C23D9"/>
    <w:rsid w:val="002C4A01"/>
    <w:rsid w:val="002D25DA"/>
    <w:rsid w:val="002D2E14"/>
    <w:rsid w:val="002D5FB5"/>
    <w:rsid w:val="002E24C9"/>
    <w:rsid w:val="002F10AE"/>
    <w:rsid w:val="002F1BBB"/>
    <w:rsid w:val="0030158B"/>
    <w:rsid w:val="003027CC"/>
    <w:rsid w:val="0030377E"/>
    <w:rsid w:val="00305E3F"/>
    <w:rsid w:val="00310D4B"/>
    <w:rsid w:val="00311EA1"/>
    <w:rsid w:val="003123A5"/>
    <w:rsid w:val="00323BBC"/>
    <w:rsid w:val="00324A9B"/>
    <w:rsid w:val="003341D2"/>
    <w:rsid w:val="0033786E"/>
    <w:rsid w:val="00345C90"/>
    <w:rsid w:val="00353CEB"/>
    <w:rsid w:val="0035661B"/>
    <w:rsid w:val="0036206A"/>
    <w:rsid w:val="00362E1B"/>
    <w:rsid w:val="00366C77"/>
    <w:rsid w:val="0037519B"/>
    <w:rsid w:val="00375C43"/>
    <w:rsid w:val="00386206"/>
    <w:rsid w:val="00394C55"/>
    <w:rsid w:val="003A7F42"/>
    <w:rsid w:val="003B0957"/>
    <w:rsid w:val="003C6B02"/>
    <w:rsid w:val="003C6FC3"/>
    <w:rsid w:val="003C746C"/>
    <w:rsid w:val="003D1DCE"/>
    <w:rsid w:val="003D4DDE"/>
    <w:rsid w:val="0040473C"/>
    <w:rsid w:val="004076F4"/>
    <w:rsid w:val="004139E3"/>
    <w:rsid w:val="004169CB"/>
    <w:rsid w:val="00422D8A"/>
    <w:rsid w:val="00426D0A"/>
    <w:rsid w:val="004278CF"/>
    <w:rsid w:val="00427D80"/>
    <w:rsid w:val="00433DCE"/>
    <w:rsid w:val="004518C4"/>
    <w:rsid w:val="00452882"/>
    <w:rsid w:val="00466E65"/>
    <w:rsid w:val="0048670E"/>
    <w:rsid w:val="00497C03"/>
    <w:rsid w:val="004A04DC"/>
    <w:rsid w:val="004A33B6"/>
    <w:rsid w:val="004A57EB"/>
    <w:rsid w:val="004B3DE4"/>
    <w:rsid w:val="004B4DB2"/>
    <w:rsid w:val="004B53EF"/>
    <w:rsid w:val="004B6A86"/>
    <w:rsid w:val="004C0B05"/>
    <w:rsid w:val="004C25C0"/>
    <w:rsid w:val="004C5F37"/>
    <w:rsid w:val="004D17B6"/>
    <w:rsid w:val="004D453A"/>
    <w:rsid w:val="004D50E5"/>
    <w:rsid w:val="004E07CF"/>
    <w:rsid w:val="004E3971"/>
    <w:rsid w:val="004E3FEE"/>
    <w:rsid w:val="004E4C70"/>
    <w:rsid w:val="004E7F96"/>
    <w:rsid w:val="004F1983"/>
    <w:rsid w:val="004F70FE"/>
    <w:rsid w:val="00511FD2"/>
    <w:rsid w:val="00527057"/>
    <w:rsid w:val="005317F5"/>
    <w:rsid w:val="0053454B"/>
    <w:rsid w:val="0054618F"/>
    <w:rsid w:val="005505E0"/>
    <w:rsid w:val="00550F8C"/>
    <w:rsid w:val="00555FB1"/>
    <w:rsid w:val="00560822"/>
    <w:rsid w:val="005671DE"/>
    <w:rsid w:val="00574F1A"/>
    <w:rsid w:val="0057738A"/>
    <w:rsid w:val="005822B9"/>
    <w:rsid w:val="0058690E"/>
    <w:rsid w:val="0059089B"/>
    <w:rsid w:val="00592F47"/>
    <w:rsid w:val="00596E67"/>
    <w:rsid w:val="00597582"/>
    <w:rsid w:val="005A03F6"/>
    <w:rsid w:val="005B1707"/>
    <w:rsid w:val="005C35B7"/>
    <w:rsid w:val="005D0450"/>
    <w:rsid w:val="005D0676"/>
    <w:rsid w:val="005D42DB"/>
    <w:rsid w:val="005D6099"/>
    <w:rsid w:val="005D7B00"/>
    <w:rsid w:val="005E6427"/>
    <w:rsid w:val="005F2DBA"/>
    <w:rsid w:val="005F43D2"/>
    <w:rsid w:val="005F7A0D"/>
    <w:rsid w:val="0060528E"/>
    <w:rsid w:val="00606C65"/>
    <w:rsid w:val="006108EB"/>
    <w:rsid w:val="00615322"/>
    <w:rsid w:val="00626623"/>
    <w:rsid w:val="0063108C"/>
    <w:rsid w:val="00642EBC"/>
    <w:rsid w:val="00644FA7"/>
    <w:rsid w:val="00645616"/>
    <w:rsid w:val="00651C3A"/>
    <w:rsid w:val="00652155"/>
    <w:rsid w:val="00657540"/>
    <w:rsid w:val="006601F7"/>
    <w:rsid w:val="00661202"/>
    <w:rsid w:val="006711EA"/>
    <w:rsid w:val="00690AB8"/>
    <w:rsid w:val="00693603"/>
    <w:rsid w:val="00695599"/>
    <w:rsid w:val="00695E4E"/>
    <w:rsid w:val="006961F8"/>
    <w:rsid w:val="006B4072"/>
    <w:rsid w:val="006B435C"/>
    <w:rsid w:val="006C19CA"/>
    <w:rsid w:val="006C24DA"/>
    <w:rsid w:val="006C5382"/>
    <w:rsid w:val="006D05DE"/>
    <w:rsid w:val="006D1B46"/>
    <w:rsid w:val="006D3552"/>
    <w:rsid w:val="006D35B3"/>
    <w:rsid w:val="006D4E7A"/>
    <w:rsid w:val="006D4F54"/>
    <w:rsid w:val="006E2F11"/>
    <w:rsid w:val="006E2F44"/>
    <w:rsid w:val="006E5256"/>
    <w:rsid w:val="006F3286"/>
    <w:rsid w:val="006F4981"/>
    <w:rsid w:val="0070254D"/>
    <w:rsid w:val="00702CDD"/>
    <w:rsid w:val="00703DB5"/>
    <w:rsid w:val="00705137"/>
    <w:rsid w:val="007116A8"/>
    <w:rsid w:val="00712E60"/>
    <w:rsid w:val="007164DD"/>
    <w:rsid w:val="00716918"/>
    <w:rsid w:val="00730B00"/>
    <w:rsid w:val="007375E4"/>
    <w:rsid w:val="007608F3"/>
    <w:rsid w:val="00760A6B"/>
    <w:rsid w:val="007764E2"/>
    <w:rsid w:val="00777C5E"/>
    <w:rsid w:val="00780631"/>
    <w:rsid w:val="00782989"/>
    <w:rsid w:val="00783244"/>
    <w:rsid w:val="00790AD5"/>
    <w:rsid w:val="007B0717"/>
    <w:rsid w:val="007B3102"/>
    <w:rsid w:val="007B6441"/>
    <w:rsid w:val="007B6761"/>
    <w:rsid w:val="007D7A14"/>
    <w:rsid w:val="007E4716"/>
    <w:rsid w:val="007E50FF"/>
    <w:rsid w:val="007E64B9"/>
    <w:rsid w:val="007E6A08"/>
    <w:rsid w:val="007E7A73"/>
    <w:rsid w:val="007F4670"/>
    <w:rsid w:val="00801B51"/>
    <w:rsid w:val="008129F5"/>
    <w:rsid w:val="008142EB"/>
    <w:rsid w:val="0081640D"/>
    <w:rsid w:val="00817B34"/>
    <w:rsid w:val="00823395"/>
    <w:rsid w:val="00823F9E"/>
    <w:rsid w:val="00825716"/>
    <w:rsid w:val="00831D20"/>
    <w:rsid w:val="00832608"/>
    <w:rsid w:val="00840798"/>
    <w:rsid w:val="008420E9"/>
    <w:rsid w:val="0084324F"/>
    <w:rsid w:val="00845BE0"/>
    <w:rsid w:val="00852271"/>
    <w:rsid w:val="008537EA"/>
    <w:rsid w:val="0085748B"/>
    <w:rsid w:val="00860DBC"/>
    <w:rsid w:val="00862E99"/>
    <w:rsid w:val="0086309D"/>
    <w:rsid w:val="00863A43"/>
    <w:rsid w:val="00864D03"/>
    <w:rsid w:val="00877BF9"/>
    <w:rsid w:val="00881549"/>
    <w:rsid w:val="00881F9E"/>
    <w:rsid w:val="008857CF"/>
    <w:rsid w:val="00886126"/>
    <w:rsid w:val="00886824"/>
    <w:rsid w:val="0088755C"/>
    <w:rsid w:val="008900FE"/>
    <w:rsid w:val="008908BA"/>
    <w:rsid w:val="008932C5"/>
    <w:rsid w:val="008A199E"/>
    <w:rsid w:val="008A3036"/>
    <w:rsid w:val="008A3BA9"/>
    <w:rsid w:val="008A5E5D"/>
    <w:rsid w:val="008A730B"/>
    <w:rsid w:val="008B138D"/>
    <w:rsid w:val="008B1B5B"/>
    <w:rsid w:val="008B7048"/>
    <w:rsid w:val="008D0263"/>
    <w:rsid w:val="008D6178"/>
    <w:rsid w:val="008D6CF8"/>
    <w:rsid w:val="008E1A29"/>
    <w:rsid w:val="008E429D"/>
    <w:rsid w:val="008E7F5B"/>
    <w:rsid w:val="008F44E9"/>
    <w:rsid w:val="009004EF"/>
    <w:rsid w:val="00903960"/>
    <w:rsid w:val="0091065A"/>
    <w:rsid w:val="00913FEA"/>
    <w:rsid w:val="00920D82"/>
    <w:rsid w:val="0092164B"/>
    <w:rsid w:val="009224EA"/>
    <w:rsid w:val="009279AC"/>
    <w:rsid w:val="00930760"/>
    <w:rsid w:val="00935347"/>
    <w:rsid w:val="0093657E"/>
    <w:rsid w:val="0093744E"/>
    <w:rsid w:val="00943CE5"/>
    <w:rsid w:val="009459F6"/>
    <w:rsid w:val="00950CBD"/>
    <w:rsid w:val="009608A2"/>
    <w:rsid w:val="009618E2"/>
    <w:rsid w:val="00961EB9"/>
    <w:rsid w:val="00963F92"/>
    <w:rsid w:val="00977A88"/>
    <w:rsid w:val="009914DF"/>
    <w:rsid w:val="00992D83"/>
    <w:rsid w:val="009A21A1"/>
    <w:rsid w:val="009A3B8E"/>
    <w:rsid w:val="009A48F9"/>
    <w:rsid w:val="009A4BE3"/>
    <w:rsid w:val="009A6BCD"/>
    <w:rsid w:val="009B35C2"/>
    <w:rsid w:val="009B534C"/>
    <w:rsid w:val="009C2C8F"/>
    <w:rsid w:val="009D0C9C"/>
    <w:rsid w:val="009D2A85"/>
    <w:rsid w:val="009D534C"/>
    <w:rsid w:val="009E230A"/>
    <w:rsid w:val="009E6754"/>
    <w:rsid w:val="009E6AF9"/>
    <w:rsid w:val="009E72A5"/>
    <w:rsid w:val="009F609C"/>
    <w:rsid w:val="00A00897"/>
    <w:rsid w:val="00A01275"/>
    <w:rsid w:val="00A04339"/>
    <w:rsid w:val="00A04CB4"/>
    <w:rsid w:val="00A0513F"/>
    <w:rsid w:val="00A05CD1"/>
    <w:rsid w:val="00A10297"/>
    <w:rsid w:val="00A113CC"/>
    <w:rsid w:val="00A12178"/>
    <w:rsid w:val="00A172FF"/>
    <w:rsid w:val="00A251CA"/>
    <w:rsid w:val="00A2678C"/>
    <w:rsid w:val="00A27AD3"/>
    <w:rsid w:val="00A30AD9"/>
    <w:rsid w:val="00A31604"/>
    <w:rsid w:val="00A372FD"/>
    <w:rsid w:val="00A37A3A"/>
    <w:rsid w:val="00A41289"/>
    <w:rsid w:val="00A41ED8"/>
    <w:rsid w:val="00A43A51"/>
    <w:rsid w:val="00A47A40"/>
    <w:rsid w:val="00A62700"/>
    <w:rsid w:val="00A63611"/>
    <w:rsid w:val="00A70598"/>
    <w:rsid w:val="00A73441"/>
    <w:rsid w:val="00A83D42"/>
    <w:rsid w:val="00A87012"/>
    <w:rsid w:val="00A93610"/>
    <w:rsid w:val="00A9406A"/>
    <w:rsid w:val="00A9507C"/>
    <w:rsid w:val="00AA59A6"/>
    <w:rsid w:val="00AC0A96"/>
    <w:rsid w:val="00AE5C9C"/>
    <w:rsid w:val="00B07804"/>
    <w:rsid w:val="00B25E0D"/>
    <w:rsid w:val="00B26497"/>
    <w:rsid w:val="00B27EDC"/>
    <w:rsid w:val="00B36DFF"/>
    <w:rsid w:val="00B37D50"/>
    <w:rsid w:val="00B402B4"/>
    <w:rsid w:val="00B428CD"/>
    <w:rsid w:val="00B5214E"/>
    <w:rsid w:val="00B57C64"/>
    <w:rsid w:val="00B612CA"/>
    <w:rsid w:val="00B64448"/>
    <w:rsid w:val="00B75300"/>
    <w:rsid w:val="00B7733F"/>
    <w:rsid w:val="00B828FD"/>
    <w:rsid w:val="00B86F6E"/>
    <w:rsid w:val="00BA113B"/>
    <w:rsid w:val="00BB2EC9"/>
    <w:rsid w:val="00BB319C"/>
    <w:rsid w:val="00BD65D4"/>
    <w:rsid w:val="00BD7B08"/>
    <w:rsid w:val="00BE6004"/>
    <w:rsid w:val="00BE6F2F"/>
    <w:rsid w:val="00BF0516"/>
    <w:rsid w:val="00BF13BE"/>
    <w:rsid w:val="00C019A1"/>
    <w:rsid w:val="00C01C60"/>
    <w:rsid w:val="00C07E33"/>
    <w:rsid w:val="00C12B90"/>
    <w:rsid w:val="00C20A5B"/>
    <w:rsid w:val="00C229D6"/>
    <w:rsid w:val="00C27042"/>
    <w:rsid w:val="00C3138D"/>
    <w:rsid w:val="00C31AA6"/>
    <w:rsid w:val="00C36456"/>
    <w:rsid w:val="00C4773F"/>
    <w:rsid w:val="00C52697"/>
    <w:rsid w:val="00C53182"/>
    <w:rsid w:val="00C553AE"/>
    <w:rsid w:val="00C55CF8"/>
    <w:rsid w:val="00C55E5D"/>
    <w:rsid w:val="00C56EE8"/>
    <w:rsid w:val="00C62062"/>
    <w:rsid w:val="00C64028"/>
    <w:rsid w:val="00C82991"/>
    <w:rsid w:val="00C85E11"/>
    <w:rsid w:val="00CA19F8"/>
    <w:rsid w:val="00CB07C8"/>
    <w:rsid w:val="00CC0953"/>
    <w:rsid w:val="00CC37B0"/>
    <w:rsid w:val="00CC6D65"/>
    <w:rsid w:val="00CD210F"/>
    <w:rsid w:val="00CD3151"/>
    <w:rsid w:val="00CD382D"/>
    <w:rsid w:val="00CE2515"/>
    <w:rsid w:val="00CE2919"/>
    <w:rsid w:val="00CF0147"/>
    <w:rsid w:val="00D00831"/>
    <w:rsid w:val="00D00E21"/>
    <w:rsid w:val="00D018A8"/>
    <w:rsid w:val="00D04A7F"/>
    <w:rsid w:val="00D22735"/>
    <w:rsid w:val="00D231AC"/>
    <w:rsid w:val="00D30EAF"/>
    <w:rsid w:val="00D32745"/>
    <w:rsid w:val="00D33BF1"/>
    <w:rsid w:val="00D35061"/>
    <w:rsid w:val="00D37C29"/>
    <w:rsid w:val="00D40A54"/>
    <w:rsid w:val="00D4565C"/>
    <w:rsid w:val="00D463AB"/>
    <w:rsid w:val="00D50507"/>
    <w:rsid w:val="00D50E04"/>
    <w:rsid w:val="00D54F34"/>
    <w:rsid w:val="00D5559B"/>
    <w:rsid w:val="00D6132E"/>
    <w:rsid w:val="00D6276D"/>
    <w:rsid w:val="00D64ECE"/>
    <w:rsid w:val="00D66376"/>
    <w:rsid w:val="00D7204C"/>
    <w:rsid w:val="00D72BB7"/>
    <w:rsid w:val="00D809BE"/>
    <w:rsid w:val="00D84E2D"/>
    <w:rsid w:val="00D91941"/>
    <w:rsid w:val="00D951F3"/>
    <w:rsid w:val="00DA1C8D"/>
    <w:rsid w:val="00DA380B"/>
    <w:rsid w:val="00DA7773"/>
    <w:rsid w:val="00DA78B1"/>
    <w:rsid w:val="00DD11FC"/>
    <w:rsid w:val="00DD2DE9"/>
    <w:rsid w:val="00DD7EFB"/>
    <w:rsid w:val="00DE02D7"/>
    <w:rsid w:val="00DE355E"/>
    <w:rsid w:val="00DF06D2"/>
    <w:rsid w:val="00DF24F6"/>
    <w:rsid w:val="00E01729"/>
    <w:rsid w:val="00E01CCB"/>
    <w:rsid w:val="00E078D4"/>
    <w:rsid w:val="00E14529"/>
    <w:rsid w:val="00E14F67"/>
    <w:rsid w:val="00E31C83"/>
    <w:rsid w:val="00E367F6"/>
    <w:rsid w:val="00E42E90"/>
    <w:rsid w:val="00E464A9"/>
    <w:rsid w:val="00E47A08"/>
    <w:rsid w:val="00E51467"/>
    <w:rsid w:val="00E519A6"/>
    <w:rsid w:val="00E52BF6"/>
    <w:rsid w:val="00E65394"/>
    <w:rsid w:val="00E7048E"/>
    <w:rsid w:val="00E70FAB"/>
    <w:rsid w:val="00E7292F"/>
    <w:rsid w:val="00E72D28"/>
    <w:rsid w:val="00E73F94"/>
    <w:rsid w:val="00E74C5B"/>
    <w:rsid w:val="00E80262"/>
    <w:rsid w:val="00E808FC"/>
    <w:rsid w:val="00E87646"/>
    <w:rsid w:val="00EA2238"/>
    <w:rsid w:val="00EA39CB"/>
    <w:rsid w:val="00EA4471"/>
    <w:rsid w:val="00EB2007"/>
    <w:rsid w:val="00EB46CD"/>
    <w:rsid w:val="00EB77BA"/>
    <w:rsid w:val="00EC7840"/>
    <w:rsid w:val="00ED45A4"/>
    <w:rsid w:val="00EE16EE"/>
    <w:rsid w:val="00EE678F"/>
    <w:rsid w:val="00F010FD"/>
    <w:rsid w:val="00F04CE0"/>
    <w:rsid w:val="00F17243"/>
    <w:rsid w:val="00F216A2"/>
    <w:rsid w:val="00F2470F"/>
    <w:rsid w:val="00F30276"/>
    <w:rsid w:val="00F30A97"/>
    <w:rsid w:val="00F3286C"/>
    <w:rsid w:val="00F408D0"/>
    <w:rsid w:val="00F416AA"/>
    <w:rsid w:val="00F43DB5"/>
    <w:rsid w:val="00F43EAD"/>
    <w:rsid w:val="00F5190B"/>
    <w:rsid w:val="00F564C2"/>
    <w:rsid w:val="00F6634E"/>
    <w:rsid w:val="00F72E44"/>
    <w:rsid w:val="00F75C01"/>
    <w:rsid w:val="00F8458E"/>
    <w:rsid w:val="00F8535C"/>
    <w:rsid w:val="00F86AD8"/>
    <w:rsid w:val="00F8772B"/>
    <w:rsid w:val="00F9550E"/>
    <w:rsid w:val="00FA1090"/>
    <w:rsid w:val="00FA2745"/>
    <w:rsid w:val="00FB27B4"/>
    <w:rsid w:val="00FB5CC8"/>
    <w:rsid w:val="00FC0B76"/>
    <w:rsid w:val="00FC6132"/>
    <w:rsid w:val="00FD34B6"/>
    <w:rsid w:val="00FD53C4"/>
    <w:rsid w:val="00FD7554"/>
    <w:rsid w:val="00FD7AA2"/>
    <w:rsid w:val="00FE7C6F"/>
    <w:rsid w:val="00FF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D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550E"/>
    <w:pPr>
      <w:tabs>
        <w:tab w:val="center" w:pos="4320"/>
        <w:tab w:val="right" w:pos="8640"/>
      </w:tabs>
    </w:pPr>
  </w:style>
  <w:style w:type="paragraph" w:styleId="Footer">
    <w:name w:val="footer"/>
    <w:basedOn w:val="Normal"/>
    <w:link w:val="FooterChar"/>
    <w:uiPriority w:val="99"/>
    <w:rsid w:val="00F9550E"/>
    <w:pPr>
      <w:tabs>
        <w:tab w:val="center" w:pos="4320"/>
        <w:tab w:val="right" w:pos="8640"/>
      </w:tabs>
    </w:pPr>
  </w:style>
  <w:style w:type="paragraph" w:styleId="BalloonText">
    <w:name w:val="Balloon Text"/>
    <w:basedOn w:val="Normal"/>
    <w:semiHidden/>
    <w:rsid w:val="008A730B"/>
    <w:rPr>
      <w:rFonts w:ascii="Tahoma" w:hAnsi="Tahoma" w:cs="Tahoma"/>
      <w:sz w:val="16"/>
      <w:szCs w:val="16"/>
    </w:rPr>
  </w:style>
  <w:style w:type="paragraph" w:styleId="NormalWeb">
    <w:name w:val="Normal (Web)"/>
    <w:basedOn w:val="Normal"/>
    <w:rsid w:val="00B5214E"/>
    <w:pPr>
      <w:spacing w:before="100" w:beforeAutospacing="1" w:after="100" w:afterAutospacing="1"/>
    </w:pPr>
  </w:style>
  <w:style w:type="table" w:styleId="TableGrid">
    <w:name w:val="Table Grid"/>
    <w:basedOn w:val="TableNormal"/>
    <w:rsid w:val="004D1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2E93"/>
  </w:style>
  <w:style w:type="table" w:styleId="TableClassic1">
    <w:name w:val="Table Classic 1"/>
    <w:basedOn w:val="TableNormal"/>
    <w:rsid w:val="00A27AD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27AD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A27AD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7AD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A27AD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rsid w:val="00A27A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930760"/>
    <w:pPr>
      <w:spacing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6206A"/>
    <w:rPr>
      <w:sz w:val="24"/>
      <w:szCs w:val="24"/>
    </w:rPr>
  </w:style>
  <w:style w:type="paragraph" w:customStyle="1" w:styleId="a">
    <w:name w:val="_"/>
    <w:basedOn w:val="Normal"/>
    <w:uiPriority w:val="99"/>
    <w:rsid w:val="00207823"/>
    <w:pPr>
      <w:widowControl w:val="0"/>
      <w:autoSpaceDE w:val="0"/>
      <w:autoSpaceDN w:val="0"/>
      <w:adjustRightInd w:val="0"/>
      <w:ind w:left="720" w:hanging="720"/>
    </w:pPr>
  </w:style>
  <w:style w:type="paragraph" w:styleId="PlainText">
    <w:name w:val="Plain Text"/>
    <w:basedOn w:val="Normal"/>
    <w:link w:val="PlainTextChar"/>
    <w:rsid w:val="0093657E"/>
    <w:rPr>
      <w:rFonts w:ascii="Courier New" w:hAnsi="Courier New"/>
      <w:sz w:val="20"/>
      <w:szCs w:val="20"/>
    </w:rPr>
  </w:style>
  <w:style w:type="character" w:customStyle="1" w:styleId="PlainTextChar">
    <w:name w:val="Plain Text Char"/>
    <w:basedOn w:val="DefaultParagraphFont"/>
    <w:link w:val="PlainText"/>
    <w:rsid w:val="0093657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D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550E"/>
    <w:pPr>
      <w:tabs>
        <w:tab w:val="center" w:pos="4320"/>
        <w:tab w:val="right" w:pos="8640"/>
      </w:tabs>
    </w:pPr>
  </w:style>
  <w:style w:type="paragraph" w:styleId="Footer">
    <w:name w:val="footer"/>
    <w:basedOn w:val="Normal"/>
    <w:link w:val="FooterChar"/>
    <w:uiPriority w:val="99"/>
    <w:rsid w:val="00F9550E"/>
    <w:pPr>
      <w:tabs>
        <w:tab w:val="center" w:pos="4320"/>
        <w:tab w:val="right" w:pos="8640"/>
      </w:tabs>
    </w:pPr>
  </w:style>
  <w:style w:type="paragraph" w:styleId="BalloonText">
    <w:name w:val="Balloon Text"/>
    <w:basedOn w:val="Normal"/>
    <w:semiHidden/>
    <w:rsid w:val="008A730B"/>
    <w:rPr>
      <w:rFonts w:ascii="Tahoma" w:hAnsi="Tahoma" w:cs="Tahoma"/>
      <w:sz w:val="16"/>
      <w:szCs w:val="16"/>
    </w:rPr>
  </w:style>
  <w:style w:type="paragraph" w:styleId="NormalWeb">
    <w:name w:val="Normal (Web)"/>
    <w:basedOn w:val="Normal"/>
    <w:rsid w:val="00B5214E"/>
    <w:pPr>
      <w:spacing w:before="100" w:beforeAutospacing="1" w:after="100" w:afterAutospacing="1"/>
    </w:pPr>
  </w:style>
  <w:style w:type="table" w:styleId="TableGrid">
    <w:name w:val="Table Grid"/>
    <w:basedOn w:val="TableNormal"/>
    <w:rsid w:val="004D1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2E93"/>
  </w:style>
  <w:style w:type="table" w:styleId="TableClassic1">
    <w:name w:val="Table Classic 1"/>
    <w:basedOn w:val="TableNormal"/>
    <w:rsid w:val="00A27AD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27AD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A27AD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7AD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A27AD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rsid w:val="00A27A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930760"/>
    <w:pPr>
      <w:spacing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6206A"/>
    <w:rPr>
      <w:sz w:val="24"/>
      <w:szCs w:val="24"/>
    </w:rPr>
  </w:style>
  <w:style w:type="paragraph" w:customStyle="1" w:styleId="a">
    <w:name w:val="_"/>
    <w:basedOn w:val="Normal"/>
    <w:uiPriority w:val="99"/>
    <w:rsid w:val="00207823"/>
    <w:pPr>
      <w:widowControl w:val="0"/>
      <w:autoSpaceDE w:val="0"/>
      <w:autoSpaceDN w:val="0"/>
      <w:adjustRightInd w:val="0"/>
      <w:ind w:left="720" w:hanging="720"/>
    </w:pPr>
  </w:style>
  <w:style w:type="paragraph" w:styleId="PlainText">
    <w:name w:val="Plain Text"/>
    <w:basedOn w:val="Normal"/>
    <w:link w:val="PlainTextChar"/>
    <w:rsid w:val="0093657E"/>
    <w:rPr>
      <w:rFonts w:ascii="Courier New" w:hAnsi="Courier New"/>
      <w:sz w:val="20"/>
      <w:szCs w:val="20"/>
    </w:rPr>
  </w:style>
  <w:style w:type="character" w:customStyle="1" w:styleId="PlainTextChar">
    <w:name w:val="Plain Text Char"/>
    <w:basedOn w:val="DefaultParagraphFont"/>
    <w:link w:val="PlainText"/>
    <w:rsid w:val="0093657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53451">
      <w:bodyDiv w:val="1"/>
      <w:marLeft w:val="0"/>
      <w:marRight w:val="0"/>
      <w:marTop w:val="0"/>
      <w:marBottom w:val="0"/>
      <w:divBdr>
        <w:top w:val="none" w:sz="0" w:space="0" w:color="auto"/>
        <w:left w:val="none" w:sz="0" w:space="0" w:color="auto"/>
        <w:bottom w:val="none" w:sz="0" w:space="0" w:color="auto"/>
        <w:right w:val="none" w:sz="0" w:space="0" w:color="auto"/>
      </w:divBdr>
    </w:div>
    <w:div w:id="539437178">
      <w:bodyDiv w:val="1"/>
      <w:marLeft w:val="0"/>
      <w:marRight w:val="0"/>
      <w:marTop w:val="0"/>
      <w:marBottom w:val="0"/>
      <w:divBdr>
        <w:top w:val="none" w:sz="0" w:space="0" w:color="auto"/>
        <w:left w:val="none" w:sz="0" w:space="0" w:color="auto"/>
        <w:bottom w:val="none" w:sz="0" w:space="0" w:color="auto"/>
        <w:right w:val="none" w:sz="0" w:space="0" w:color="auto"/>
      </w:divBdr>
    </w:div>
    <w:div w:id="678504674">
      <w:bodyDiv w:val="1"/>
      <w:marLeft w:val="0"/>
      <w:marRight w:val="0"/>
      <w:marTop w:val="0"/>
      <w:marBottom w:val="0"/>
      <w:divBdr>
        <w:top w:val="none" w:sz="0" w:space="0" w:color="auto"/>
        <w:left w:val="none" w:sz="0" w:space="0" w:color="auto"/>
        <w:bottom w:val="none" w:sz="0" w:space="0" w:color="auto"/>
        <w:right w:val="none" w:sz="0" w:space="0" w:color="auto"/>
      </w:divBdr>
    </w:div>
    <w:div w:id="1006860679">
      <w:bodyDiv w:val="1"/>
      <w:marLeft w:val="0"/>
      <w:marRight w:val="0"/>
      <w:marTop w:val="0"/>
      <w:marBottom w:val="0"/>
      <w:divBdr>
        <w:top w:val="none" w:sz="0" w:space="0" w:color="auto"/>
        <w:left w:val="none" w:sz="0" w:space="0" w:color="auto"/>
        <w:bottom w:val="none" w:sz="0" w:space="0" w:color="auto"/>
        <w:right w:val="none" w:sz="0" w:space="0" w:color="auto"/>
      </w:divBdr>
    </w:div>
    <w:div w:id="1450859949">
      <w:bodyDiv w:val="1"/>
      <w:marLeft w:val="0"/>
      <w:marRight w:val="0"/>
      <w:marTop w:val="0"/>
      <w:marBottom w:val="0"/>
      <w:divBdr>
        <w:top w:val="none" w:sz="0" w:space="0" w:color="auto"/>
        <w:left w:val="none" w:sz="0" w:space="0" w:color="auto"/>
        <w:bottom w:val="none" w:sz="0" w:space="0" w:color="auto"/>
        <w:right w:val="none" w:sz="0" w:space="0" w:color="auto"/>
      </w:divBdr>
    </w:div>
    <w:div w:id="1553269740">
      <w:bodyDiv w:val="1"/>
      <w:marLeft w:val="0"/>
      <w:marRight w:val="0"/>
      <w:marTop w:val="0"/>
      <w:marBottom w:val="0"/>
      <w:divBdr>
        <w:top w:val="none" w:sz="0" w:space="0" w:color="auto"/>
        <w:left w:val="none" w:sz="0" w:space="0" w:color="auto"/>
        <w:bottom w:val="none" w:sz="0" w:space="0" w:color="auto"/>
        <w:right w:val="none" w:sz="0" w:space="0" w:color="auto"/>
      </w:divBdr>
    </w:div>
    <w:div w:id="18725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4E83-7510-49C9-9528-BD74329C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Hidalgo County Head Start Program</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Edmundo Garcia</dc:creator>
  <cp:lastModifiedBy>Angela Garcia</cp:lastModifiedBy>
  <cp:revision>2</cp:revision>
  <cp:lastPrinted>2012-03-30T14:57:00Z</cp:lastPrinted>
  <dcterms:created xsi:type="dcterms:W3CDTF">2012-04-05T21:23:00Z</dcterms:created>
  <dcterms:modified xsi:type="dcterms:W3CDTF">2012-04-05T21:23:00Z</dcterms:modified>
</cp:coreProperties>
</file>