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77" w:rsidRPr="00B25877" w:rsidRDefault="00E34D77" w:rsidP="00B25877">
      <w:pPr>
        <w:pStyle w:val="Default"/>
        <w:keepNext/>
        <w:keepLines/>
        <w:spacing w:after="24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EXITING ELECTED OFFICIAL EXPENDITURE POLICY</w:t>
      </w:r>
    </w:p>
    <w:p w:rsidR="004F3405" w:rsidRPr="00B25877" w:rsidRDefault="004F3405" w:rsidP="00BE2819">
      <w:pPr>
        <w:pStyle w:val="Default"/>
        <w:keepNext/>
        <w:keepLines/>
        <w:spacing w:after="240"/>
        <w:outlineLvl w:val="0"/>
        <w:rPr>
          <w:rFonts w:ascii="Arial" w:hAnsi="Arial" w:cs="Arial"/>
          <w:b/>
          <w:sz w:val="20"/>
          <w:szCs w:val="20"/>
        </w:rPr>
      </w:pPr>
      <w:r w:rsidRPr="00B25877">
        <w:rPr>
          <w:rFonts w:ascii="Arial" w:hAnsi="Arial" w:cs="Arial"/>
          <w:b/>
          <w:bCs/>
          <w:sz w:val="20"/>
          <w:szCs w:val="20"/>
          <w:u w:val="single"/>
        </w:rPr>
        <w:t xml:space="preserve">PURPOSE AND OBJECTIVES </w:t>
      </w:r>
    </w:p>
    <w:p w:rsidR="00E34D77" w:rsidRPr="00E34D77" w:rsidRDefault="004F3405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bCs/>
          <w:sz w:val="24"/>
          <w:szCs w:val="24"/>
        </w:rPr>
        <w:t>1.1</w:t>
      </w:r>
      <w:r w:rsidR="00FD3B22" w:rsidRPr="00E34D77">
        <w:rPr>
          <w:rFonts w:cstheme="minorHAnsi"/>
          <w:bCs/>
          <w:sz w:val="24"/>
          <w:szCs w:val="24"/>
        </w:rPr>
        <w:tab/>
      </w:r>
      <w:r w:rsidR="00E34D77" w:rsidRPr="00E34D77">
        <w:rPr>
          <w:rFonts w:cstheme="minorHAnsi"/>
          <w:sz w:val="24"/>
          <w:szCs w:val="24"/>
        </w:rPr>
        <w:t xml:space="preserve">Local Government Code Section 130.908 requires Commissioners Court to approve any expenditure of an elected county or precinct officer who was not </w:t>
      </w:r>
      <w:proofErr w:type="spellStart"/>
      <w:r w:rsidR="00E34D77" w:rsidRPr="00E34D77">
        <w:rPr>
          <w:rFonts w:cstheme="minorHAnsi"/>
          <w:sz w:val="24"/>
          <w:szCs w:val="24"/>
        </w:rPr>
        <w:t>renominated</w:t>
      </w:r>
      <w:proofErr w:type="spellEnd"/>
      <w:r w:rsidR="00E34D77" w:rsidRPr="00E34D77">
        <w:rPr>
          <w:rFonts w:cstheme="minorHAnsi"/>
          <w:sz w:val="24"/>
          <w:szCs w:val="24"/>
        </w:rPr>
        <w:t xml:space="preserve"> or reelected that is over an amount set by the Commissioners Court. The purpose of this policy is to establish expenditure limits that require Commissioners Court approval.</w:t>
      </w:r>
    </w:p>
    <w:p w:rsidR="008961F8" w:rsidRDefault="008961F8" w:rsidP="00E34D77">
      <w:pPr>
        <w:pStyle w:val="Default"/>
        <w:keepNext/>
        <w:keepLines/>
        <w:spacing w:after="240"/>
        <w:ind w:left="720" w:hanging="7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4F3405" w:rsidRPr="00B25877" w:rsidRDefault="00E34D77" w:rsidP="00E34D77">
      <w:pPr>
        <w:pStyle w:val="Default"/>
        <w:keepNext/>
        <w:keepLines/>
        <w:spacing w:after="240"/>
        <w:ind w:left="720" w:hanging="720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DEFINITIONS</w:t>
      </w:r>
      <w:r w:rsidR="004F3405" w:rsidRPr="00B25877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:rsidR="004F3405" w:rsidRPr="00E34D77" w:rsidRDefault="004F3405" w:rsidP="008961F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 xml:space="preserve">2.1 </w:t>
      </w:r>
      <w:r w:rsidR="00094B49" w:rsidRPr="00E34D77">
        <w:rPr>
          <w:rFonts w:cstheme="minorHAnsi"/>
          <w:sz w:val="24"/>
          <w:szCs w:val="24"/>
        </w:rPr>
        <w:tab/>
      </w:r>
      <w:r w:rsidR="00E34D77" w:rsidRPr="00E34D77">
        <w:rPr>
          <w:rFonts w:cstheme="minorHAnsi"/>
          <w:b/>
          <w:bCs/>
          <w:sz w:val="24"/>
          <w:szCs w:val="24"/>
        </w:rPr>
        <w:t xml:space="preserve">Expenditure: </w:t>
      </w:r>
      <w:r w:rsidR="00E34D77" w:rsidRPr="00E34D77">
        <w:rPr>
          <w:rFonts w:cstheme="minorHAnsi"/>
          <w:sz w:val="24"/>
          <w:szCs w:val="24"/>
        </w:rPr>
        <w:t>For the purposes of this policy, expenditure is 1) a single transaction or multiple transactions to any one vendor, or 2) the combination of multiple purchases for a single project or piece of equipment.</w:t>
      </w:r>
    </w:p>
    <w:p w:rsidR="00E34D77" w:rsidRPr="00E34D77" w:rsidRDefault="00E34D77" w:rsidP="008961F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E34D77" w:rsidRPr="00E34D77" w:rsidRDefault="00E34D77" w:rsidP="008961F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2.2</w:t>
      </w:r>
      <w:r w:rsidRPr="00E34D77">
        <w:rPr>
          <w:rFonts w:cstheme="minorHAnsi"/>
          <w:sz w:val="24"/>
          <w:szCs w:val="24"/>
        </w:rPr>
        <w:tab/>
      </w:r>
      <w:r w:rsidRPr="00E34D77">
        <w:rPr>
          <w:rFonts w:cstheme="minorHAnsi"/>
          <w:b/>
          <w:bCs/>
          <w:sz w:val="24"/>
          <w:szCs w:val="24"/>
        </w:rPr>
        <w:t xml:space="preserve">Travel Expenditure: </w:t>
      </w:r>
      <w:r w:rsidRPr="00E34D77">
        <w:rPr>
          <w:rFonts w:cstheme="minorHAnsi"/>
          <w:sz w:val="24"/>
          <w:szCs w:val="24"/>
        </w:rPr>
        <w:t>For the purposes of this policy, travel expenditure is the combined costs of a single business or training trip including, but not limited to, registration, hotel, transportation and meals.</w:t>
      </w:r>
    </w:p>
    <w:p w:rsidR="00E34D77" w:rsidRDefault="00E34D77" w:rsidP="00BE2819">
      <w:pPr>
        <w:pStyle w:val="Default"/>
        <w:keepNext/>
        <w:keepLines/>
        <w:spacing w:after="240"/>
        <w:outlineLv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4F3405" w:rsidRPr="00B25877" w:rsidRDefault="00E34D77" w:rsidP="00BE2819">
      <w:pPr>
        <w:pStyle w:val="Default"/>
        <w:keepNext/>
        <w:keepLines/>
        <w:spacing w:after="240"/>
        <w:outlineLvl w:val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POLICY</w:t>
      </w:r>
      <w:r w:rsidR="004F3405" w:rsidRPr="00B25877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:rsidR="00E34D77" w:rsidRPr="00E34D77" w:rsidRDefault="004F3405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 xml:space="preserve">3.1 </w:t>
      </w:r>
      <w:r w:rsidR="00094B49" w:rsidRPr="00E34D77">
        <w:rPr>
          <w:rFonts w:cstheme="minorHAnsi"/>
          <w:sz w:val="24"/>
          <w:szCs w:val="24"/>
        </w:rPr>
        <w:tab/>
      </w:r>
      <w:r w:rsidR="00E34D77" w:rsidRPr="00E34D77">
        <w:rPr>
          <w:rFonts w:cstheme="minorHAnsi"/>
          <w:sz w:val="24"/>
          <w:szCs w:val="24"/>
        </w:rPr>
        <w:t xml:space="preserve">When a </w:t>
      </w:r>
      <w:r w:rsidR="00691485">
        <w:rPr>
          <w:rFonts w:cstheme="minorHAnsi"/>
          <w:sz w:val="24"/>
          <w:szCs w:val="24"/>
        </w:rPr>
        <w:t>Hidalgo</w:t>
      </w:r>
      <w:r w:rsidR="00E34D77" w:rsidRPr="00E34D77">
        <w:rPr>
          <w:rFonts w:cstheme="minorHAnsi"/>
          <w:sz w:val="24"/>
          <w:szCs w:val="24"/>
        </w:rPr>
        <w:t xml:space="preserve"> County elected official is not </w:t>
      </w:r>
      <w:proofErr w:type="spellStart"/>
      <w:r w:rsidR="00E34D77" w:rsidRPr="00E34D77">
        <w:rPr>
          <w:rFonts w:cstheme="minorHAnsi"/>
          <w:sz w:val="24"/>
          <w:szCs w:val="24"/>
        </w:rPr>
        <w:t>renominated</w:t>
      </w:r>
      <w:proofErr w:type="spellEnd"/>
      <w:r w:rsidR="00E34D77" w:rsidRPr="00E34D77">
        <w:rPr>
          <w:rFonts w:cstheme="minorHAnsi"/>
          <w:sz w:val="24"/>
          <w:szCs w:val="24"/>
        </w:rPr>
        <w:t xml:space="preserve"> or reelected, during the time following the date of the announcement of the results of the official canvass of the primary or election returns, , while that elected official remains in office, the Commissioners Court must approve all expenditures under the control of the elected official that exceed:</w:t>
      </w:r>
    </w:p>
    <w:p w:rsidR="00E34D77" w:rsidRPr="00E34D77" w:rsidRDefault="00E34D77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8961F8" w:rsidRDefault="00E34D77" w:rsidP="00E34D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$</w:t>
      </w:r>
      <w:r w:rsidR="005E7495" w:rsidRPr="005E7495">
        <w:rPr>
          <w:rFonts w:cstheme="minorHAnsi"/>
          <w:sz w:val="24"/>
          <w:szCs w:val="24"/>
          <w:u w:val="thick"/>
        </w:rPr>
        <w:t>1,500.00</w:t>
      </w:r>
      <w:r w:rsidRPr="00E34D77">
        <w:rPr>
          <w:rFonts w:cstheme="minorHAnsi"/>
          <w:sz w:val="24"/>
          <w:szCs w:val="24"/>
        </w:rPr>
        <w:t xml:space="preserve"> if budgeted in the maintenance and operating category or the capital category,</w:t>
      </w:r>
      <w:r w:rsidR="007B4ECD">
        <w:rPr>
          <w:rFonts w:cstheme="minorHAnsi"/>
          <w:sz w:val="24"/>
          <w:szCs w:val="24"/>
        </w:rPr>
        <w:t xml:space="preserve">  unless the expenditure is for utilities</w:t>
      </w:r>
      <w:r w:rsidR="008961F8">
        <w:rPr>
          <w:rFonts w:cstheme="minorHAnsi"/>
          <w:sz w:val="24"/>
          <w:szCs w:val="24"/>
        </w:rPr>
        <w:t xml:space="preserve"> (see item 2 below),</w:t>
      </w:r>
      <w:r w:rsidR="007B4ECD">
        <w:rPr>
          <w:rFonts w:cstheme="minorHAnsi"/>
          <w:sz w:val="24"/>
          <w:szCs w:val="24"/>
        </w:rPr>
        <w:t xml:space="preserve"> </w:t>
      </w:r>
    </w:p>
    <w:p w:rsidR="008961F8" w:rsidRDefault="008961F8" w:rsidP="008961F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E34D77" w:rsidRPr="00E34D77" w:rsidRDefault="008961F8" w:rsidP="00E34D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5E7495" w:rsidRPr="005E7495">
        <w:rPr>
          <w:rFonts w:cstheme="minorHAnsi"/>
          <w:sz w:val="24"/>
          <w:szCs w:val="24"/>
          <w:u w:val="thick"/>
        </w:rPr>
        <w:t>5,000.00</w:t>
      </w:r>
      <w:r>
        <w:rPr>
          <w:rFonts w:cstheme="minorHAnsi"/>
          <w:sz w:val="24"/>
          <w:szCs w:val="24"/>
        </w:rPr>
        <w:t xml:space="preserve"> if the expenditure is for utilities </w:t>
      </w:r>
      <w:r w:rsidR="007B4ECD">
        <w:rPr>
          <w:rFonts w:cstheme="minorHAnsi"/>
          <w:sz w:val="24"/>
          <w:szCs w:val="24"/>
        </w:rPr>
        <w:t>(i.e., water, electricity, phone (landline only), gas and sewage); or</w:t>
      </w:r>
    </w:p>
    <w:p w:rsidR="00E34D77" w:rsidRPr="00E34D77" w:rsidRDefault="00E34D77" w:rsidP="00E34D7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  <w:bookmarkStart w:id="0" w:name="_GoBack"/>
      <w:bookmarkEnd w:id="0"/>
    </w:p>
    <w:p w:rsidR="00E34D77" w:rsidRPr="00E34D77" w:rsidRDefault="00E34D77" w:rsidP="00E34D77">
      <w:pPr>
        <w:autoSpaceDE w:val="0"/>
        <w:autoSpaceDN w:val="0"/>
        <w:adjustRightInd w:val="0"/>
        <w:spacing w:after="0" w:line="240" w:lineRule="auto"/>
        <w:ind w:left="1080" w:firstLine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Or</w:t>
      </w:r>
    </w:p>
    <w:p w:rsidR="00E34D77" w:rsidRPr="00E34D77" w:rsidRDefault="00E34D77" w:rsidP="00E34D77">
      <w:pPr>
        <w:autoSpaceDE w:val="0"/>
        <w:autoSpaceDN w:val="0"/>
        <w:adjustRightInd w:val="0"/>
        <w:spacing w:after="0" w:line="240" w:lineRule="auto"/>
        <w:ind w:left="1080" w:firstLine="720"/>
        <w:rPr>
          <w:rFonts w:cstheme="minorHAnsi"/>
          <w:sz w:val="24"/>
          <w:szCs w:val="24"/>
        </w:rPr>
      </w:pPr>
    </w:p>
    <w:p w:rsidR="00EF2E50" w:rsidRPr="00E34D77" w:rsidRDefault="00E34D77" w:rsidP="00E34D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>Any travel expenditure that exceeds $</w:t>
      </w:r>
      <w:r w:rsidR="005E7495" w:rsidRPr="005E7495">
        <w:rPr>
          <w:rFonts w:cstheme="minorHAnsi"/>
          <w:sz w:val="24"/>
          <w:szCs w:val="24"/>
          <w:u w:val="thick"/>
        </w:rPr>
        <w:t>500.00</w:t>
      </w:r>
      <w:r w:rsidRPr="00E34D77">
        <w:rPr>
          <w:rFonts w:cstheme="minorHAnsi"/>
          <w:sz w:val="24"/>
          <w:szCs w:val="24"/>
        </w:rPr>
        <w:t xml:space="preserve"> where the elected official is doing the traveling.  Commissioners Court approval is not required for travel expenditures for the staff of the elected official.</w:t>
      </w:r>
    </w:p>
    <w:p w:rsidR="00E34D77" w:rsidRPr="00E34D77" w:rsidRDefault="004F3405" w:rsidP="00E34D77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34D77">
        <w:rPr>
          <w:rFonts w:cstheme="minorHAnsi"/>
          <w:sz w:val="24"/>
          <w:szCs w:val="24"/>
        </w:rPr>
        <w:t xml:space="preserve">3.2 </w:t>
      </w:r>
      <w:r w:rsidR="00094B49" w:rsidRPr="00E34D77">
        <w:rPr>
          <w:rFonts w:cstheme="minorHAnsi"/>
          <w:sz w:val="24"/>
          <w:szCs w:val="24"/>
        </w:rPr>
        <w:tab/>
      </w:r>
      <w:r w:rsidR="00E34D77" w:rsidRPr="00E34D77">
        <w:rPr>
          <w:rFonts w:cstheme="minorHAnsi"/>
          <w:sz w:val="24"/>
          <w:szCs w:val="24"/>
        </w:rPr>
        <w:t>The approval by Commissioners Court must take place before a purchase order is issued, a travel encumbrance is approved, or the County is obligated to pay the expenditure; this includes procurement card transactions. The elected official may be held personally liable for expenditures that occur in violation of this policy.</w:t>
      </w:r>
    </w:p>
    <w:sectPr w:rsidR="00E34D77" w:rsidRPr="00E34D77" w:rsidSect="008961F8">
      <w:headerReference w:type="default" r:id="rId9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09" w:rsidRDefault="00FE7609" w:rsidP="004F3405">
      <w:pPr>
        <w:spacing w:after="0" w:line="240" w:lineRule="auto"/>
      </w:pPr>
      <w:r>
        <w:separator/>
      </w:r>
    </w:p>
  </w:endnote>
  <w:endnote w:type="continuationSeparator" w:id="0">
    <w:p w:rsidR="00FE7609" w:rsidRDefault="00FE7609" w:rsidP="004F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09" w:rsidRDefault="00FE7609" w:rsidP="004F3405">
      <w:pPr>
        <w:spacing w:after="0" w:line="240" w:lineRule="auto"/>
      </w:pPr>
      <w:r>
        <w:separator/>
      </w:r>
    </w:p>
  </w:footnote>
  <w:footnote w:type="continuationSeparator" w:id="0">
    <w:p w:rsidR="00FE7609" w:rsidRDefault="00FE7609" w:rsidP="004F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000" w:firstRow="0" w:lastRow="0" w:firstColumn="0" w:lastColumn="0" w:noHBand="0" w:noVBand="0"/>
    </w:tblPr>
    <w:tblGrid>
      <w:gridCol w:w="6408"/>
      <w:gridCol w:w="1800"/>
      <w:gridCol w:w="1368"/>
    </w:tblGrid>
    <w:tr w:rsidR="00B25877" w:rsidRPr="00B75FB7" w:rsidTr="00CE2C5A">
      <w:trPr>
        <w:trHeight w:hRule="exact" w:val="1440"/>
      </w:trPr>
      <w:tc>
        <w:tcPr>
          <w:tcW w:w="6408" w:type="dxa"/>
          <w:vAlign w:val="center"/>
        </w:tcPr>
        <w:p w:rsidR="00B25877" w:rsidRDefault="00B25877" w:rsidP="00CE2C5A">
          <w:pPr>
            <w:pStyle w:val="Heading3"/>
          </w:pPr>
          <w:r>
            <w:t>Hidalgo County, Texas</w:t>
          </w:r>
        </w:p>
        <w:p w:rsidR="00B25877" w:rsidRDefault="009E3D1E" w:rsidP="00CE2C5A">
          <w:pPr>
            <w:pStyle w:val="Heading1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before="120" w:after="120"/>
          </w:pPr>
          <w:r>
            <w:rPr>
              <w:sz w:val="28"/>
            </w:rPr>
            <w:t>ADMINISTRATIVE</w:t>
          </w:r>
          <w:r w:rsidR="00B25877">
            <w:rPr>
              <w:sz w:val="28"/>
            </w:rPr>
            <w:t xml:space="preserve"> POLICY MANUAL</w:t>
          </w:r>
        </w:p>
      </w:tc>
      <w:tc>
        <w:tcPr>
          <w:tcW w:w="1800" w:type="dxa"/>
          <w:tcBorders>
            <w:right w:val="nil"/>
          </w:tcBorders>
        </w:tcPr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Procedure:</w:t>
          </w:r>
        </w:p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Page:</w:t>
          </w:r>
        </w:p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Date Authorized:</w:t>
          </w:r>
        </w:p>
        <w:p w:rsidR="00B25877" w:rsidRPr="00B75FB7" w:rsidRDefault="00B25877" w:rsidP="00CE2C5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20" w:line="240" w:lineRule="auto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 xml:space="preserve">Supersedes:                </w:t>
          </w:r>
        </w:p>
      </w:tc>
      <w:tc>
        <w:tcPr>
          <w:tcW w:w="1368" w:type="dxa"/>
          <w:tcBorders>
            <w:left w:val="nil"/>
          </w:tcBorders>
        </w:tcPr>
        <w:p w:rsidR="00B25877" w:rsidRPr="00B75FB7" w:rsidRDefault="00E34D77" w:rsidP="00CE2C5A">
          <w:pPr>
            <w:pStyle w:val="Header"/>
            <w:spacing w:after="120"/>
            <w:jc w:val="right"/>
            <w:rPr>
              <w:rStyle w:val="PageNumber"/>
              <w:rFonts w:ascii="Verdana" w:hAnsi="Verdana"/>
              <w:sz w:val="18"/>
              <w:szCs w:val="18"/>
            </w:rPr>
          </w:pPr>
          <w:r>
            <w:rPr>
              <w:rStyle w:val="PageNumber"/>
              <w:rFonts w:ascii="Verdana" w:hAnsi="Verdana"/>
              <w:sz w:val="18"/>
              <w:szCs w:val="18"/>
            </w:rPr>
            <w:t>EEOEP</w:t>
          </w:r>
          <w:r w:rsidR="00B25877" w:rsidRPr="00B75FB7">
            <w:rPr>
              <w:rStyle w:val="PageNumber"/>
              <w:rFonts w:ascii="Verdana" w:hAnsi="Verdana"/>
              <w:sz w:val="18"/>
              <w:szCs w:val="18"/>
            </w:rPr>
            <w:t>.1</w:t>
          </w:r>
        </w:p>
        <w:p w:rsidR="00B25877" w:rsidRPr="00B75FB7" w:rsidRDefault="00630752" w:rsidP="00CE2C5A">
          <w:pPr>
            <w:pStyle w:val="Header"/>
            <w:spacing w:after="120"/>
            <w:jc w:val="right"/>
            <w:rPr>
              <w:rFonts w:ascii="Verdana" w:hAnsi="Verdana"/>
              <w:sz w:val="18"/>
              <w:szCs w:val="18"/>
            </w:rPr>
          </w:pP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="00B25877" w:rsidRPr="00B75FB7">
            <w:rPr>
              <w:rStyle w:val="PageNumber"/>
              <w:rFonts w:ascii="Verdana" w:hAnsi="Verdana"/>
              <w:sz w:val="18"/>
              <w:szCs w:val="18"/>
            </w:rPr>
            <w:instrText xml:space="preserve"> PAGE </w:instrTex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 w:rsidR="005E7495"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  <w:r w:rsidR="00B25877" w:rsidRPr="00B75FB7">
            <w:rPr>
              <w:rFonts w:ascii="Verdana" w:hAnsi="Verdana"/>
              <w:sz w:val="18"/>
              <w:szCs w:val="18"/>
            </w:rPr>
            <w:t xml:space="preserve"> of </w: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="00B25877" w:rsidRPr="00B75FB7">
            <w:rPr>
              <w:rStyle w:val="PageNumber"/>
              <w:rFonts w:ascii="Verdana" w:hAnsi="Verdana"/>
              <w:sz w:val="18"/>
              <w:szCs w:val="18"/>
            </w:rPr>
            <w:instrText xml:space="preserve"> NUMPAGES </w:instrTex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 w:rsidR="005E7495"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B75FB7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</w:p>
        <w:p w:rsidR="00B25877" w:rsidRPr="00B75FB7" w:rsidRDefault="00E34D77" w:rsidP="00CE2C5A">
          <w:pPr>
            <w:pStyle w:val="Header"/>
            <w:spacing w:after="120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11/27/2012</w:t>
          </w:r>
        </w:p>
        <w:p w:rsidR="00B25877" w:rsidRPr="00B75FB7" w:rsidRDefault="00B25877" w:rsidP="00CE2C5A">
          <w:pPr>
            <w:pStyle w:val="Header"/>
            <w:spacing w:after="120"/>
            <w:jc w:val="right"/>
            <w:rPr>
              <w:rFonts w:ascii="Verdana" w:hAnsi="Verdana"/>
              <w:sz w:val="18"/>
              <w:szCs w:val="18"/>
            </w:rPr>
          </w:pPr>
          <w:r w:rsidRPr="00B75FB7">
            <w:rPr>
              <w:rFonts w:ascii="Verdana" w:hAnsi="Verdana"/>
              <w:sz w:val="18"/>
              <w:szCs w:val="18"/>
            </w:rPr>
            <w:t>n/a</w:t>
          </w:r>
        </w:p>
      </w:tc>
    </w:tr>
  </w:tbl>
  <w:p w:rsidR="004F3405" w:rsidRDefault="004F34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9D6"/>
    <w:multiLevelType w:val="hybridMultilevel"/>
    <w:tmpl w:val="644422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D3ACE"/>
    <w:multiLevelType w:val="hybridMultilevel"/>
    <w:tmpl w:val="7D8CE6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03315"/>
    <w:multiLevelType w:val="hybridMultilevel"/>
    <w:tmpl w:val="EAF2C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5CB3"/>
    <w:multiLevelType w:val="hybridMultilevel"/>
    <w:tmpl w:val="632E6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930CBE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652F"/>
    <w:multiLevelType w:val="hybridMultilevel"/>
    <w:tmpl w:val="2382A2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17F0"/>
    <w:multiLevelType w:val="hybridMultilevel"/>
    <w:tmpl w:val="235E5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B1683"/>
    <w:multiLevelType w:val="hybridMultilevel"/>
    <w:tmpl w:val="8CDEA3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AE2D2F"/>
    <w:multiLevelType w:val="hybridMultilevel"/>
    <w:tmpl w:val="20584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86638"/>
    <w:multiLevelType w:val="hybridMultilevel"/>
    <w:tmpl w:val="8E12D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26816"/>
    <w:multiLevelType w:val="hybridMultilevel"/>
    <w:tmpl w:val="15B646DC"/>
    <w:lvl w:ilvl="0" w:tplc="656A2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074FC1"/>
    <w:multiLevelType w:val="hybridMultilevel"/>
    <w:tmpl w:val="58C603B6"/>
    <w:lvl w:ilvl="0" w:tplc="D2DE29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D1C28F9"/>
    <w:multiLevelType w:val="hybridMultilevel"/>
    <w:tmpl w:val="DCDC8988"/>
    <w:lvl w:ilvl="0" w:tplc="8CAAF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566968"/>
    <w:multiLevelType w:val="hybridMultilevel"/>
    <w:tmpl w:val="8042DC62"/>
    <w:lvl w:ilvl="0" w:tplc="0FF80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ED72E4"/>
    <w:multiLevelType w:val="hybridMultilevel"/>
    <w:tmpl w:val="955EC2A8"/>
    <w:lvl w:ilvl="0" w:tplc="A0D21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93F2D"/>
    <w:multiLevelType w:val="hybridMultilevel"/>
    <w:tmpl w:val="B9DEF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42048"/>
    <w:multiLevelType w:val="hybridMultilevel"/>
    <w:tmpl w:val="5AA047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E7C7F"/>
    <w:multiLevelType w:val="hybridMultilevel"/>
    <w:tmpl w:val="53A65C5A"/>
    <w:lvl w:ilvl="0" w:tplc="B38A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31ACC"/>
    <w:multiLevelType w:val="hybridMultilevel"/>
    <w:tmpl w:val="51F21E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AA06ACB"/>
    <w:multiLevelType w:val="hybridMultilevel"/>
    <w:tmpl w:val="36EEA060"/>
    <w:lvl w:ilvl="0" w:tplc="1EF86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DE7BFD"/>
    <w:multiLevelType w:val="hybridMultilevel"/>
    <w:tmpl w:val="F872BEC6"/>
    <w:lvl w:ilvl="0" w:tplc="174ACF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F1459B"/>
    <w:multiLevelType w:val="hybridMultilevel"/>
    <w:tmpl w:val="1FE2A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55160"/>
    <w:multiLevelType w:val="hybridMultilevel"/>
    <w:tmpl w:val="38A2F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53155"/>
    <w:multiLevelType w:val="hybridMultilevel"/>
    <w:tmpl w:val="3356CACC"/>
    <w:lvl w:ilvl="0" w:tplc="77E03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BE18D7"/>
    <w:multiLevelType w:val="hybridMultilevel"/>
    <w:tmpl w:val="2EE0AD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152C4"/>
    <w:multiLevelType w:val="hybridMultilevel"/>
    <w:tmpl w:val="CCA0D1C4"/>
    <w:lvl w:ilvl="0" w:tplc="91C6C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434579"/>
    <w:multiLevelType w:val="hybridMultilevel"/>
    <w:tmpl w:val="FE98B7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B2F4C"/>
    <w:multiLevelType w:val="hybridMultilevel"/>
    <w:tmpl w:val="7ECE0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"/>
  </w:num>
  <w:num w:numId="4">
    <w:abstractNumId w:val="19"/>
  </w:num>
  <w:num w:numId="5">
    <w:abstractNumId w:val="6"/>
  </w:num>
  <w:num w:numId="6">
    <w:abstractNumId w:val="16"/>
  </w:num>
  <w:num w:numId="7">
    <w:abstractNumId w:val="21"/>
  </w:num>
  <w:num w:numId="8">
    <w:abstractNumId w:val="13"/>
  </w:num>
  <w:num w:numId="9">
    <w:abstractNumId w:val="7"/>
  </w:num>
  <w:num w:numId="10">
    <w:abstractNumId w:val="24"/>
  </w:num>
  <w:num w:numId="11">
    <w:abstractNumId w:val="25"/>
  </w:num>
  <w:num w:numId="12">
    <w:abstractNumId w:val="22"/>
  </w:num>
  <w:num w:numId="13">
    <w:abstractNumId w:val="15"/>
  </w:num>
  <w:num w:numId="14">
    <w:abstractNumId w:val="11"/>
  </w:num>
  <w:num w:numId="15">
    <w:abstractNumId w:val="20"/>
  </w:num>
  <w:num w:numId="16">
    <w:abstractNumId w:val="18"/>
  </w:num>
  <w:num w:numId="17">
    <w:abstractNumId w:val="3"/>
  </w:num>
  <w:num w:numId="18">
    <w:abstractNumId w:val="9"/>
  </w:num>
  <w:num w:numId="19">
    <w:abstractNumId w:val="23"/>
  </w:num>
  <w:num w:numId="20">
    <w:abstractNumId w:val="12"/>
  </w:num>
  <w:num w:numId="21">
    <w:abstractNumId w:val="4"/>
  </w:num>
  <w:num w:numId="22">
    <w:abstractNumId w:val="17"/>
  </w:num>
  <w:num w:numId="23">
    <w:abstractNumId w:val="0"/>
  </w:num>
  <w:num w:numId="24">
    <w:abstractNumId w:val="14"/>
  </w:num>
  <w:num w:numId="25">
    <w:abstractNumId w:val="1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05"/>
    <w:rsid w:val="0000560B"/>
    <w:rsid w:val="00015E2E"/>
    <w:rsid w:val="00033641"/>
    <w:rsid w:val="00073D2A"/>
    <w:rsid w:val="0008542F"/>
    <w:rsid w:val="00094B49"/>
    <w:rsid w:val="0009538E"/>
    <w:rsid w:val="000A258F"/>
    <w:rsid w:val="000B0080"/>
    <w:rsid w:val="000E0204"/>
    <w:rsid w:val="00115A9C"/>
    <w:rsid w:val="001367D3"/>
    <w:rsid w:val="00275DBD"/>
    <w:rsid w:val="002E3493"/>
    <w:rsid w:val="003208CA"/>
    <w:rsid w:val="003A174A"/>
    <w:rsid w:val="004965E4"/>
    <w:rsid w:val="004A720F"/>
    <w:rsid w:val="004B2F84"/>
    <w:rsid w:val="004F3405"/>
    <w:rsid w:val="00512D0E"/>
    <w:rsid w:val="005221B1"/>
    <w:rsid w:val="00553FF7"/>
    <w:rsid w:val="005D39BB"/>
    <w:rsid w:val="005E7495"/>
    <w:rsid w:val="00630752"/>
    <w:rsid w:val="00691485"/>
    <w:rsid w:val="006A4978"/>
    <w:rsid w:val="006B2D60"/>
    <w:rsid w:val="006B6023"/>
    <w:rsid w:val="00716B5B"/>
    <w:rsid w:val="00752838"/>
    <w:rsid w:val="00773BC6"/>
    <w:rsid w:val="007A0C49"/>
    <w:rsid w:val="007A1505"/>
    <w:rsid w:val="007B4ECD"/>
    <w:rsid w:val="00845BEA"/>
    <w:rsid w:val="0085600A"/>
    <w:rsid w:val="008961F8"/>
    <w:rsid w:val="009777F8"/>
    <w:rsid w:val="009C2C9E"/>
    <w:rsid w:val="009E3D1E"/>
    <w:rsid w:val="00A805D0"/>
    <w:rsid w:val="00B25877"/>
    <w:rsid w:val="00B51B23"/>
    <w:rsid w:val="00BD7C54"/>
    <w:rsid w:val="00BE2819"/>
    <w:rsid w:val="00BF1D7E"/>
    <w:rsid w:val="00C11574"/>
    <w:rsid w:val="00C247DF"/>
    <w:rsid w:val="00C43ADA"/>
    <w:rsid w:val="00C60A36"/>
    <w:rsid w:val="00CF1345"/>
    <w:rsid w:val="00D45490"/>
    <w:rsid w:val="00D63979"/>
    <w:rsid w:val="00DD6112"/>
    <w:rsid w:val="00E34D77"/>
    <w:rsid w:val="00E91461"/>
    <w:rsid w:val="00E9768D"/>
    <w:rsid w:val="00EB7D97"/>
    <w:rsid w:val="00EC0C3F"/>
    <w:rsid w:val="00EC4738"/>
    <w:rsid w:val="00EF2E50"/>
    <w:rsid w:val="00F51701"/>
    <w:rsid w:val="00F92A5D"/>
    <w:rsid w:val="00F96ADB"/>
    <w:rsid w:val="00FD3B2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5877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pacing w:val="-3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587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 w:after="120" w:line="240" w:lineRule="auto"/>
      <w:jc w:val="center"/>
      <w:outlineLvl w:val="2"/>
    </w:pPr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05"/>
  </w:style>
  <w:style w:type="paragraph" w:styleId="Footer">
    <w:name w:val="footer"/>
    <w:basedOn w:val="Normal"/>
    <w:link w:val="FooterChar"/>
    <w:uiPriority w:val="99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05"/>
  </w:style>
  <w:style w:type="paragraph" w:styleId="BalloonText">
    <w:name w:val="Balloon Text"/>
    <w:basedOn w:val="Normal"/>
    <w:link w:val="BalloonText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9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25877"/>
    <w:rPr>
      <w:rFonts w:ascii="Verdana" w:eastAsia="Times New Roman" w:hAnsi="Verdana" w:cs="Times New Roman"/>
      <w:b/>
      <w:bCs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25877"/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styleId="PageNumber">
    <w:name w:val="page number"/>
    <w:basedOn w:val="DefaultParagraphFont"/>
    <w:rsid w:val="00B2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5877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pacing w:val="-3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587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 w:after="120" w:line="240" w:lineRule="auto"/>
      <w:jc w:val="center"/>
      <w:outlineLvl w:val="2"/>
    </w:pPr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05"/>
  </w:style>
  <w:style w:type="paragraph" w:styleId="Footer">
    <w:name w:val="footer"/>
    <w:basedOn w:val="Normal"/>
    <w:link w:val="FooterChar"/>
    <w:uiPriority w:val="99"/>
    <w:unhideWhenUsed/>
    <w:rsid w:val="004F3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05"/>
  </w:style>
  <w:style w:type="paragraph" w:styleId="BalloonText">
    <w:name w:val="Balloon Text"/>
    <w:basedOn w:val="Normal"/>
    <w:link w:val="BalloonTextChar"/>
    <w:uiPriority w:val="99"/>
    <w:semiHidden/>
    <w:unhideWhenUsed/>
    <w:rsid w:val="004F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9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25877"/>
    <w:rPr>
      <w:rFonts w:ascii="Verdana" w:eastAsia="Times New Roman" w:hAnsi="Verdana" w:cs="Times New Roman"/>
      <w:b/>
      <w:bCs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25877"/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styleId="PageNumber">
    <w:name w:val="page number"/>
    <w:basedOn w:val="DefaultParagraphFont"/>
    <w:rsid w:val="00B2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2949-DE01-42BD-9CF9-2E4A2DA1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</dc:title>
  <dc:creator>sergio.cruz</dc:creator>
  <cp:lastModifiedBy>Erika Zamora</cp:lastModifiedBy>
  <cp:revision>5</cp:revision>
  <cp:lastPrinted>2008-12-03T14:14:00Z</cp:lastPrinted>
  <dcterms:created xsi:type="dcterms:W3CDTF">2012-11-26T21:16:00Z</dcterms:created>
  <dcterms:modified xsi:type="dcterms:W3CDTF">2012-11-27T20:10:00Z</dcterms:modified>
</cp:coreProperties>
</file>