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60" w:rsidRPr="002C521D" w:rsidRDefault="005E5BF5" w:rsidP="005E5BF5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2C521D">
        <w:rPr>
          <w:b/>
          <w:sz w:val="21"/>
          <w:szCs w:val="21"/>
        </w:rPr>
        <w:t xml:space="preserve">RESOLUTION </w:t>
      </w:r>
      <w:r w:rsidR="00CD6D06">
        <w:rPr>
          <w:b/>
          <w:sz w:val="21"/>
          <w:szCs w:val="21"/>
        </w:rPr>
        <w:t>HONORING LUBBOCK COUNTY OFFICIALS</w:t>
      </w:r>
    </w:p>
    <w:p w:rsidR="0043048F" w:rsidRPr="002C521D" w:rsidRDefault="0043048F" w:rsidP="0043048F">
      <w:pPr>
        <w:rPr>
          <w:sz w:val="21"/>
          <w:szCs w:val="21"/>
        </w:rPr>
      </w:pPr>
    </w:p>
    <w:p w:rsidR="00543A69" w:rsidRDefault="0043048F" w:rsidP="00CD6D06">
      <w:pPr>
        <w:rPr>
          <w:sz w:val="21"/>
          <w:szCs w:val="21"/>
        </w:rPr>
      </w:pPr>
      <w:r w:rsidRPr="002C521D">
        <w:rPr>
          <w:b/>
          <w:sz w:val="21"/>
          <w:szCs w:val="21"/>
        </w:rPr>
        <w:t>WHEREAS</w:t>
      </w:r>
      <w:r w:rsidR="005E5BF5" w:rsidRPr="002C521D">
        <w:rPr>
          <w:b/>
          <w:sz w:val="21"/>
          <w:szCs w:val="21"/>
        </w:rPr>
        <w:t xml:space="preserve">, </w:t>
      </w:r>
      <w:r w:rsidR="00150224" w:rsidRPr="002C521D">
        <w:rPr>
          <w:sz w:val="21"/>
          <w:szCs w:val="21"/>
        </w:rPr>
        <w:t xml:space="preserve">Hidalgo County </w:t>
      </w:r>
      <w:r w:rsidR="00543A69">
        <w:rPr>
          <w:sz w:val="21"/>
          <w:szCs w:val="21"/>
        </w:rPr>
        <w:t>is moving forward on plans to establish vote centers, or countywide polling places</w:t>
      </w:r>
      <w:r w:rsidR="0076379E">
        <w:rPr>
          <w:sz w:val="21"/>
          <w:szCs w:val="21"/>
        </w:rPr>
        <w:t xml:space="preserve">; </w:t>
      </w:r>
      <w:r w:rsidR="00543A69">
        <w:rPr>
          <w:sz w:val="21"/>
          <w:szCs w:val="21"/>
        </w:rPr>
        <w:t>and</w:t>
      </w:r>
    </w:p>
    <w:p w:rsidR="00543A69" w:rsidRDefault="00543A69" w:rsidP="00CD6D06">
      <w:pPr>
        <w:rPr>
          <w:sz w:val="21"/>
          <w:szCs w:val="21"/>
        </w:rPr>
      </w:pPr>
    </w:p>
    <w:p w:rsidR="0076379E" w:rsidRDefault="00543A69" w:rsidP="0076379E">
      <w:pPr>
        <w:rPr>
          <w:sz w:val="21"/>
          <w:szCs w:val="21"/>
        </w:rPr>
      </w:pPr>
      <w:r w:rsidRPr="00336998">
        <w:rPr>
          <w:b/>
          <w:sz w:val="21"/>
          <w:szCs w:val="21"/>
        </w:rPr>
        <w:t>WHEREAS</w:t>
      </w:r>
      <w:r>
        <w:rPr>
          <w:sz w:val="21"/>
          <w:szCs w:val="21"/>
        </w:rPr>
        <w:t xml:space="preserve">, the establishment of vote centers will allow Election Day polling places to operate in a similar </w:t>
      </w:r>
      <w:r w:rsidR="00336998">
        <w:rPr>
          <w:sz w:val="21"/>
          <w:szCs w:val="21"/>
        </w:rPr>
        <w:t>man</w:t>
      </w:r>
      <w:r w:rsidR="0076379E">
        <w:rPr>
          <w:sz w:val="21"/>
          <w:szCs w:val="21"/>
        </w:rPr>
        <w:t>ner to early vote locations, giving registered voters in Hidalgo County the option of voting at any polling location on Election Day instead of having to vote at t</w:t>
      </w:r>
      <w:r w:rsidR="00376DA1">
        <w:rPr>
          <w:sz w:val="21"/>
          <w:szCs w:val="21"/>
        </w:rPr>
        <w:t xml:space="preserve">heir precinct polling locations; and </w:t>
      </w:r>
    </w:p>
    <w:p w:rsidR="00543A69" w:rsidRDefault="00543A69" w:rsidP="00CD6D06">
      <w:pPr>
        <w:rPr>
          <w:sz w:val="21"/>
          <w:szCs w:val="21"/>
        </w:rPr>
      </w:pPr>
    </w:p>
    <w:p w:rsidR="00543A69" w:rsidRDefault="00543A69" w:rsidP="00CD6D06">
      <w:pPr>
        <w:rPr>
          <w:sz w:val="21"/>
          <w:szCs w:val="21"/>
        </w:rPr>
      </w:pPr>
      <w:r w:rsidRPr="00336998">
        <w:rPr>
          <w:b/>
          <w:sz w:val="21"/>
          <w:szCs w:val="21"/>
        </w:rPr>
        <w:t>WHEREAS</w:t>
      </w:r>
      <w:r>
        <w:rPr>
          <w:sz w:val="21"/>
          <w:szCs w:val="21"/>
        </w:rPr>
        <w:t xml:space="preserve">, </w:t>
      </w:r>
      <w:r w:rsidR="00336998">
        <w:rPr>
          <w:sz w:val="21"/>
          <w:szCs w:val="21"/>
        </w:rPr>
        <w:t>in 2005, the Texas Legislature authorized a pilot program to permit vote centers, and the first program was implemented in Lubbock County in 2006; and</w:t>
      </w:r>
    </w:p>
    <w:p w:rsidR="00336998" w:rsidRDefault="00336998" w:rsidP="00CD6D06">
      <w:pPr>
        <w:rPr>
          <w:sz w:val="21"/>
          <w:szCs w:val="21"/>
        </w:rPr>
      </w:pPr>
    </w:p>
    <w:p w:rsidR="00336998" w:rsidRDefault="00336998" w:rsidP="00CD6D06">
      <w:pPr>
        <w:rPr>
          <w:sz w:val="21"/>
          <w:szCs w:val="21"/>
        </w:rPr>
      </w:pPr>
      <w:r w:rsidRPr="00336998">
        <w:rPr>
          <w:b/>
          <w:sz w:val="21"/>
          <w:szCs w:val="21"/>
        </w:rPr>
        <w:t>WHEREAS</w:t>
      </w:r>
      <w:r>
        <w:rPr>
          <w:sz w:val="21"/>
          <w:szCs w:val="21"/>
        </w:rPr>
        <w:t xml:space="preserve">, since 2006, other counties have followed suit, successfully implementing vote centers throughout the state; and </w:t>
      </w:r>
    </w:p>
    <w:p w:rsidR="0076379E" w:rsidRDefault="0076379E" w:rsidP="00CD6D06">
      <w:pPr>
        <w:rPr>
          <w:sz w:val="21"/>
          <w:szCs w:val="21"/>
        </w:rPr>
      </w:pPr>
    </w:p>
    <w:p w:rsidR="0076379E" w:rsidRDefault="0076379E" w:rsidP="00CD6D06">
      <w:pPr>
        <w:rPr>
          <w:sz w:val="21"/>
          <w:szCs w:val="21"/>
        </w:rPr>
      </w:pPr>
      <w:r w:rsidRPr="0076379E">
        <w:rPr>
          <w:b/>
          <w:sz w:val="21"/>
          <w:szCs w:val="21"/>
        </w:rPr>
        <w:t>WHEREAS</w:t>
      </w:r>
      <w:r>
        <w:rPr>
          <w:sz w:val="21"/>
          <w:szCs w:val="21"/>
        </w:rPr>
        <w:t>, Lubbock County support</w:t>
      </w:r>
      <w:r w:rsidR="009231DF">
        <w:rPr>
          <w:sz w:val="21"/>
          <w:szCs w:val="21"/>
        </w:rPr>
        <w:t>s</w:t>
      </w:r>
      <w:r>
        <w:rPr>
          <w:sz w:val="21"/>
          <w:szCs w:val="21"/>
        </w:rPr>
        <w:t xml:space="preserve"> the vote centers program so enthusiastically that officials are traveling to Hidalgo County this week to share their experience and successes with County leaders</w:t>
      </w:r>
      <w:r w:rsidR="009231DF">
        <w:rPr>
          <w:sz w:val="21"/>
          <w:szCs w:val="21"/>
        </w:rPr>
        <w:t xml:space="preserve">.  Officials include County Commissioners Bill </w:t>
      </w:r>
      <w:proofErr w:type="spellStart"/>
      <w:r w:rsidR="009231DF">
        <w:rPr>
          <w:sz w:val="21"/>
          <w:szCs w:val="21"/>
        </w:rPr>
        <w:t>McCay</w:t>
      </w:r>
      <w:proofErr w:type="spellEnd"/>
      <w:r w:rsidR="009231DF">
        <w:rPr>
          <w:sz w:val="21"/>
          <w:szCs w:val="21"/>
        </w:rPr>
        <w:t xml:space="preserve"> and Mark Heinrich, Elections Administrator Dorothy Kennedy, and Chief Deputy in the Elections Office </w:t>
      </w:r>
      <w:proofErr w:type="spellStart"/>
      <w:r w:rsidR="009231DF">
        <w:rPr>
          <w:sz w:val="21"/>
          <w:szCs w:val="21"/>
        </w:rPr>
        <w:t>Roxzine</w:t>
      </w:r>
      <w:proofErr w:type="spellEnd"/>
      <w:r w:rsidR="009231DF">
        <w:rPr>
          <w:sz w:val="21"/>
          <w:szCs w:val="21"/>
        </w:rPr>
        <w:t xml:space="preserve"> Stinson.</w:t>
      </w:r>
    </w:p>
    <w:p w:rsidR="00336998" w:rsidRDefault="00336998" w:rsidP="00CD6D06">
      <w:pPr>
        <w:rPr>
          <w:sz w:val="21"/>
          <w:szCs w:val="21"/>
        </w:rPr>
      </w:pPr>
    </w:p>
    <w:p w:rsidR="00925285" w:rsidRDefault="00925285" w:rsidP="0043048F">
      <w:pPr>
        <w:rPr>
          <w:sz w:val="21"/>
          <w:szCs w:val="21"/>
        </w:rPr>
      </w:pPr>
      <w:r w:rsidRPr="002C521D">
        <w:rPr>
          <w:b/>
          <w:sz w:val="21"/>
          <w:szCs w:val="21"/>
        </w:rPr>
        <w:t>NOW, THEREFORE, BE IT RESOLVED</w:t>
      </w:r>
      <w:r w:rsidR="002C521D" w:rsidRPr="002C521D">
        <w:rPr>
          <w:b/>
          <w:sz w:val="21"/>
          <w:szCs w:val="21"/>
        </w:rPr>
        <w:t xml:space="preserve"> THAT</w:t>
      </w:r>
      <w:r w:rsidR="002C521D" w:rsidRPr="002C521D">
        <w:rPr>
          <w:sz w:val="21"/>
          <w:szCs w:val="21"/>
        </w:rPr>
        <w:t xml:space="preserve"> </w:t>
      </w:r>
      <w:r w:rsidRPr="002C521D">
        <w:rPr>
          <w:sz w:val="21"/>
          <w:szCs w:val="21"/>
        </w:rPr>
        <w:t>Hidalgo County Commissioners’ Court</w:t>
      </w:r>
      <w:r w:rsidR="002C521D" w:rsidRPr="002C521D">
        <w:rPr>
          <w:sz w:val="21"/>
          <w:szCs w:val="21"/>
        </w:rPr>
        <w:t xml:space="preserve"> hereby </w:t>
      </w:r>
      <w:r w:rsidR="00CD6D06">
        <w:rPr>
          <w:sz w:val="21"/>
          <w:szCs w:val="21"/>
        </w:rPr>
        <w:t>recognizes, honors and extends its appreciation to Lubbock County officials for their support, guidance, and encouragement in the development of vote centers in Hidalgo County</w:t>
      </w:r>
      <w:r w:rsidRPr="002C521D">
        <w:rPr>
          <w:sz w:val="21"/>
          <w:szCs w:val="21"/>
        </w:rPr>
        <w:t>.</w:t>
      </w:r>
      <w:r w:rsidR="00DE40A5">
        <w:rPr>
          <w:sz w:val="21"/>
          <w:szCs w:val="21"/>
        </w:rPr>
        <w:t xml:space="preserve">  </w:t>
      </w:r>
    </w:p>
    <w:p w:rsidR="00DE40A5" w:rsidRPr="002C521D" w:rsidRDefault="00DE40A5" w:rsidP="0043048F">
      <w:pPr>
        <w:rPr>
          <w:sz w:val="21"/>
          <w:szCs w:val="21"/>
        </w:rPr>
      </w:pPr>
    </w:p>
    <w:p w:rsidR="00522A3A" w:rsidRPr="002C521D" w:rsidRDefault="00925285" w:rsidP="0043048F">
      <w:pPr>
        <w:rPr>
          <w:sz w:val="21"/>
          <w:szCs w:val="21"/>
        </w:rPr>
      </w:pPr>
      <w:r w:rsidRPr="002C521D">
        <w:rPr>
          <w:sz w:val="21"/>
          <w:szCs w:val="21"/>
        </w:rPr>
        <w:t>Dated this 16</w:t>
      </w:r>
      <w:r w:rsidRPr="002C521D">
        <w:rPr>
          <w:sz w:val="21"/>
          <w:szCs w:val="21"/>
          <w:vertAlign w:val="superscript"/>
        </w:rPr>
        <w:t>th</w:t>
      </w:r>
      <w:r w:rsidRPr="002C521D">
        <w:rPr>
          <w:sz w:val="21"/>
          <w:szCs w:val="21"/>
        </w:rPr>
        <w:t xml:space="preserve"> day of April, 2013.</w:t>
      </w:r>
    </w:p>
    <w:p w:rsidR="002C521D" w:rsidRPr="002C521D" w:rsidRDefault="002C521D" w:rsidP="0043048F">
      <w:pPr>
        <w:rPr>
          <w:sz w:val="21"/>
          <w:szCs w:val="21"/>
        </w:rPr>
      </w:pPr>
    </w:p>
    <w:p w:rsidR="002C521D" w:rsidRDefault="002C521D" w:rsidP="002C521D">
      <w:pPr>
        <w:jc w:val="center"/>
        <w:rPr>
          <w:rFonts w:asciiTheme="majorHAnsi" w:hAnsiTheme="majorHAnsi"/>
          <w:sz w:val="21"/>
          <w:szCs w:val="21"/>
          <w:u w:val="single"/>
        </w:rPr>
      </w:pP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  <w:u w:val="single"/>
        </w:rPr>
      </w:pP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  <w:lang w:val="es-MX"/>
        </w:rPr>
      </w:pPr>
      <w:r w:rsidRPr="002C521D">
        <w:rPr>
          <w:rFonts w:asciiTheme="majorHAnsi" w:hAnsiTheme="majorHAnsi"/>
          <w:sz w:val="21"/>
          <w:szCs w:val="21"/>
          <w:lang w:val="es-MX"/>
        </w:rPr>
        <w:t>RAMON GARCIA</w:t>
      </w: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  <w:lang w:val="es-MX"/>
        </w:rPr>
      </w:pPr>
      <w:r w:rsidRPr="002C521D">
        <w:rPr>
          <w:rFonts w:asciiTheme="majorHAnsi" w:hAnsiTheme="majorHAnsi"/>
          <w:sz w:val="21"/>
          <w:szCs w:val="21"/>
          <w:lang w:val="es-MX"/>
        </w:rPr>
        <w:t>County Judge</w:t>
      </w: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  <w:lang w:val="es-MX"/>
        </w:rPr>
      </w:pP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  <w:lang w:val="es-MX"/>
        </w:rPr>
      </w:pP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softHyphen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softHyphen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softHyphen/>
      </w:r>
      <w:r w:rsidRPr="002C521D">
        <w:rPr>
          <w:rFonts w:asciiTheme="majorHAnsi" w:hAnsiTheme="majorHAnsi"/>
          <w:sz w:val="21"/>
          <w:szCs w:val="21"/>
          <w:u w:val="single"/>
          <w:lang w:val="es-MX"/>
        </w:rPr>
        <w:softHyphen/>
        <w:t>_________________</w:t>
      </w: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  <w:lang w:val="es-MX"/>
        </w:rPr>
      </w:pPr>
      <w:r w:rsidRPr="002C521D">
        <w:rPr>
          <w:rFonts w:asciiTheme="majorHAnsi" w:hAnsiTheme="majorHAnsi"/>
          <w:sz w:val="21"/>
          <w:szCs w:val="21"/>
          <w:lang w:val="es-MX"/>
        </w:rPr>
        <w:t>A.C. CUELLAR, JR.</w:t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ab/>
      </w:r>
      <w:r>
        <w:rPr>
          <w:rFonts w:asciiTheme="majorHAnsi" w:hAnsiTheme="majorHAnsi"/>
          <w:sz w:val="21"/>
          <w:szCs w:val="21"/>
          <w:lang w:val="es-MX"/>
        </w:rPr>
        <w:tab/>
      </w:r>
      <w:r w:rsidRPr="002C521D">
        <w:rPr>
          <w:rFonts w:asciiTheme="majorHAnsi" w:hAnsiTheme="majorHAnsi"/>
          <w:sz w:val="21"/>
          <w:szCs w:val="21"/>
          <w:lang w:val="es-MX"/>
        </w:rPr>
        <w:t>HECTOR “TITO” PALACIOS</w:t>
      </w: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</w:rPr>
        <w:t xml:space="preserve">County Commissioner, Pct. 1                                         </w:t>
      </w:r>
      <w:r w:rsidRPr="002C521D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>County Commissioner, Pct. 2</w:t>
      </w: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</w:p>
    <w:p w:rsidR="002C521D" w:rsidRDefault="002C521D" w:rsidP="002C521D">
      <w:pPr>
        <w:jc w:val="both"/>
        <w:rPr>
          <w:rFonts w:asciiTheme="majorHAnsi" w:hAnsiTheme="majorHAnsi"/>
          <w:sz w:val="21"/>
          <w:szCs w:val="21"/>
          <w:u w:val="single"/>
        </w:rPr>
      </w:pP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  <w:t>______</w:t>
      </w:r>
      <w:r w:rsidRPr="002C521D">
        <w:rPr>
          <w:rFonts w:asciiTheme="majorHAnsi" w:hAnsiTheme="majorHAnsi"/>
          <w:sz w:val="21"/>
          <w:szCs w:val="21"/>
        </w:rPr>
        <w:br/>
        <w:t>JOE M. FLORES</w:t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>JOSEPH PALACIOS</w:t>
      </w: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</w:rPr>
        <w:t>County Commissioner, Pct. 3</w:t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2C521D">
        <w:rPr>
          <w:rFonts w:asciiTheme="majorHAnsi" w:hAnsiTheme="majorHAnsi"/>
          <w:sz w:val="21"/>
          <w:szCs w:val="21"/>
        </w:rPr>
        <w:t>County Commissioner, Pct. 4</w:t>
      </w: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</w:p>
    <w:p w:rsidR="002C521D" w:rsidRPr="002C521D" w:rsidRDefault="002C521D" w:rsidP="002C521D">
      <w:pPr>
        <w:jc w:val="both"/>
        <w:rPr>
          <w:rFonts w:asciiTheme="majorHAnsi" w:hAnsiTheme="majorHAnsi"/>
          <w:sz w:val="21"/>
          <w:szCs w:val="21"/>
        </w:rPr>
      </w:pP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  <w:r w:rsidRPr="002C521D">
        <w:rPr>
          <w:rFonts w:asciiTheme="majorHAnsi" w:hAnsiTheme="majorHAnsi"/>
          <w:sz w:val="21"/>
          <w:szCs w:val="21"/>
          <w:u w:val="single"/>
        </w:rPr>
        <w:tab/>
      </w:r>
    </w:p>
    <w:p w:rsidR="002C521D" w:rsidRPr="002C521D" w:rsidRDefault="002C521D" w:rsidP="002C521D">
      <w:pPr>
        <w:jc w:val="center"/>
        <w:rPr>
          <w:rFonts w:asciiTheme="majorHAnsi" w:hAnsiTheme="majorHAnsi"/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</w:rPr>
        <w:t>Attest:  ARTURO GUAJARDO, JR.</w:t>
      </w:r>
    </w:p>
    <w:p w:rsidR="005E5BF5" w:rsidRPr="002C521D" w:rsidRDefault="002C521D" w:rsidP="002C521D">
      <w:pPr>
        <w:jc w:val="center"/>
        <w:rPr>
          <w:sz w:val="21"/>
          <w:szCs w:val="21"/>
        </w:rPr>
      </w:pPr>
      <w:r w:rsidRPr="002C521D">
        <w:rPr>
          <w:rFonts w:asciiTheme="majorHAnsi" w:hAnsiTheme="majorHAnsi"/>
          <w:sz w:val="21"/>
          <w:szCs w:val="21"/>
        </w:rPr>
        <w:t>County Clerk</w:t>
      </w:r>
    </w:p>
    <w:sectPr w:rsidR="005E5BF5" w:rsidRPr="002C521D" w:rsidSect="0043048F">
      <w:headerReference w:type="default" r:id="rId7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9D" w:rsidRDefault="0076599D" w:rsidP="00B3737C">
      <w:r>
        <w:separator/>
      </w:r>
    </w:p>
  </w:endnote>
  <w:endnote w:type="continuationSeparator" w:id="0">
    <w:p w:rsidR="0076599D" w:rsidRDefault="0076599D" w:rsidP="00B3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9D" w:rsidRDefault="0076599D" w:rsidP="00B3737C">
      <w:r>
        <w:separator/>
      </w:r>
    </w:p>
  </w:footnote>
  <w:footnote w:type="continuationSeparator" w:id="0">
    <w:p w:rsidR="0076599D" w:rsidRDefault="0076599D" w:rsidP="00B3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79E" w:rsidRDefault="00763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A7"/>
    <w:rsid w:val="000263F8"/>
    <w:rsid w:val="000F6F37"/>
    <w:rsid w:val="00145FA7"/>
    <w:rsid w:val="00150224"/>
    <w:rsid w:val="00197406"/>
    <w:rsid w:val="001C3E7F"/>
    <w:rsid w:val="00230DA1"/>
    <w:rsid w:val="002C209F"/>
    <w:rsid w:val="002C521D"/>
    <w:rsid w:val="00304FDF"/>
    <w:rsid w:val="00336998"/>
    <w:rsid w:val="00354020"/>
    <w:rsid w:val="00376DA1"/>
    <w:rsid w:val="003A6C62"/>
    <w:rsid w:val="0043048F"/>
    <w:rsid w:val="00493AC1"/>
    <w:rsid w:val="004D021E"/>
    <w:rsid w:val="004D21FA"/>
    <w:rsid w:val="004E1EB7"/>
    <w:rsid w:val="00507572"/>
    <w:rsid w:val="00522A3A"/>
    <w:rsid w:val="00543A69"/>
    <w:rsid w:val="005453CB"/>
    <w:rsid w:val="005540B7"/>
    <w:rsid w:val="00557ACE"/>
    <w:rsid w:val="005E5BF5"/>
    <w:rsid w:val="006642E3"/>
    <w:rsid w:val="00671937"/>
    <w:rsid w:val="006C1076"/>
    <w:rsid w:val="007056B3"/>
    <w:rsid w:val="0076379E"/>
    <w:rsid w:val="0076599D"/>
    <w:rsid w:val="00790462"/>
    <w:rsid w:val="007A15E9"/>
    <w:rsid w:val="00807B78"/>
    <w:rsid w:val="008A5C88"/>
    <w:rsid w:val="008E5012"/>
    <w:rsid w:val="00921D94"/>
    <w:rsid w:val="009231DF"/>
    <w:rsid w:val="00925285"/>
    <w:rsid w:val="009422A8"/>
    <w:rsid w:val="00965362"/>
    <w:rsid w:val="00971BC9"/>
    <w:rsid w:val="009E21B2"/>
    <w:rsid w:val="009E7AE7"/>
    <w:rsid w:val="009F1268"/>
    <w:rsid w:val="00A01C65"/>
    <w:rsid w:val="00AC67B6"/>
    <w:rsid w:val="00AE6AD4"/>
    <w:rsid w:val="00B1233A"/>
    <w:rsid w:val="00B27D6C"/>
    <w:rsid w:val="00B3737C"/>
    <w:rsid w:val="00BF4977"/>
    <w:rsid w:val="00C105B0"/>
    <w:rsid w:val="00C27260"/>
    <w:rsid w:val="00CA41A1"/>
    <w:rsid w:val="00CD03CF"/>
    <w:rsid w:val="00CD6D06"/>
    <w:rsid w:val="00DE40A5"/>
    <w:rsid w:val="00E67CEF"/>
    <w:rsid w:val="00EF6701"/>
    <w:rsid w:val="00F26C1D"/>
    <w:rsid w:val="00F71751"/>
    <w:rsid w:val="00F935ED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7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37C"/>
  </w:style>
  <w:style w:type="paragraph" w:styleId="Footer">
    <w:name w:val="footer"/>
    <w:basedOn w:val="Normal"/>
    <w:link w:val="FooterChar"/>
    <w:uiPriority w:val="99"/>
    <w:semiHidden/>
    <w:unhideWhenUsed/>
    <w:rsid w:val="00B37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7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37C"/>
  </w:style>
  <w:style w:type="paragraph" w:styleId="Footer">
    <w:name w:val="footer"/>
    <w:basedOn w:val="Normal"/>
    <w:link w:val="FooterChar"/>
    <w:uiPriority w:val="99"/>
    <w:semiHidden/>
    <w:unhideWhenUsed/>
    <w:rsid w:val="00B37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karina.cardoza</dc:creator>
  <cp:lastModifiedBy>Monica Badillo</cp:lastModifiedBy>
  <cp:revision>2</cp:revision>
  <cp:lastPrinted>2013-04-12T21:36:00Z</cp:lastPrinted>
  <dcterms:created xsi:type="dcterms:W3CDTF">2013-04-12T22:14:00Z</dcterms:created>
  <dcterms:modified xsi:type="dcterms:W3CDTF">2013-04-12T22:14:00Z</dcterms:modified>
</cp:coreProperties>
</file>