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6408"/>
        <w:gridCol w:w="1800"/>
        <w:gridCol w:w="1368"/>
      </w:tblGrid>
      <w:tr w:rsidR="0000236C" w:rsidTr="0000236C">
        <w:trPr>
          <w:trHeight w:hRule="exact" w:val="1440"/>
        </w:trPr>
        <w:tc>
          <w:tcPr>
            <w:tcW w:w="6408" w:type="dxa"/>
            <w:tcBorders>
              <w:top w:val="threeDEmboss" w:sz="6" w:space="0" w:color="auto"/>
              <w:left w:val="threeDEmboss" w:sz="6" w:space="0" w:color="auto"/>
              <w:bottom w:val="threeDEmboss" w:sz="6" w:space="0" w:color="auto"/>
              <w:right w:val="threeDEmboss" w:sz="6" w:space="0" w:color="auto"/>
            </w:tcBorders>
            <w:vAlign w:val="center"/>
            <w:hideMark/>
          </w:tcPr>
          <w:p w:rsidR="0000236C" w:rsidRDefault="0000236C">
            <w:pPr>
              <w:pStyle w:val="Heading3"/>
              <w:rPr>
                <w:rFonts w:cstheme="minorBidi"/>
              </w:rPr>
            </w:pPr>
            <w:bookmarkStart w:id="0" w:name="_GoBack"/>
            <w:bookmarkEnd w:id="0"/>
            <w:r>
              <w:rPr>
                <w:rFonts w:cstheme="minorBidi"/>
              </w:rPr>
              <w:t>Hidalgo County, Texas</w:t>
            </w:r>
          </w:p>
          <w:p w:rsidR="00000EF4" w:rsidRDefault="0000236C" w:rsidP="0000236C">
            <w:pPr>
              <w:pStyle w:val="Heading1"/>
              <w:tabs>
                <w:tab w:val="left" w:pos="360"/>
                <w:tab w:val="left" w:pos="720"/>
                <w:tab w:val="left" w:pos="1080"/>
                <w:tab w:val="left" w:pos="1440"/>
                <w:tab w:val="left" w:pos="1800"/>
                <w:tab w:val="left" w:pos="2160"/>
                <w:tab w:val="left" w:pos="2520"/>
                <w:tab w:val="left" w:pos="2880"/>
              </w:tabs>
              <w:spacing w:before="120" w:after="120"/>
              <w:rPr>
                <w:rFonts w:cstheme="minorBidi"/>
                <w:sz w:val="28"/>
              </w:rPr>
            </w:pPr>
            <w:r>
              <w:rPr>
                <w:rFonts w:cstheme="minorBidi"/>
                <w:sz w:val="28"/>
              </w:rPr>
              <w:t>AMEND</w:t>
            </w:r>
            <w:r w:rsidR="00000EF4">
              <w:rPr>
                <w:rFonts w:cstheme="minorBidi"/>
                <w:sz w:val="28"/>
              </w:rPr>
              <w:t>ED PERSONNEL POLICY</w:t>
            </w:r>
          </w:p>
          <w:p w:rsidR="0000236C" w:rsidRDefault="00000EF4" w:rsidP="00000EF4">
            <w:pPr>
              <w:pStyle w:val="Heading1"/>
              <w:tabs>
                <w:tab w:val="left" w:pos="360"/>
                <w:tab w:val="left" w:pos="720"/>
                <w:tab w:val="left" w:pos="1080"/>
                <w:tab w:val="left" w:pos="1440"/>
                <w:tab w:val="left" w:pos="1800"/>
                <w:tab w:val="left" w:pos="2160"/>
                <w:tab w:val="left" w:pos="2520"/>
                <w:tab w:val="left" w:pos="2880"/>
              </w:tabs>
              <w:spacing w:before="120" w:after="120"/>
              <w:rPr>
                <w:rFonts w:cstheme="minorBidi"/>
              </w:rPr>
            </w:pPr>
            <w:r>
              <w:rPr>
                <w:rFonts w:cstheme="minorBidi"/>
                <w:sz w:val="28"/>
              </w:rPr>
              <w:t>FLSA NON-COVERED EMPLOYEES</w:t>
            </w:r>
          </w:p>
        </w:tc>
        <w:tc>
          <w:tcPr>
            <w:tcW w:w="1800" w:type="dxa"/>
            <w:tcBorders>
              <w:top w:val="threeDEmboss" w:sz="6" w:space="0" w:color="auto"/>
              <w:left w:val="threeDEmboss" w:sz="6" w:space="0" w:color="auto"/>
              <w:bottom w:val="threeDEmboss" w:sz="6" w:space="0" w:color="auto"/>
              <w:right w:val="nil"/>
            </w:tcBorders>
            <w:hideMark/>
          </w:tcPr>
          <w:p w:rsidR="0000236C" w:rsidRDefault="0000236C">
            <w:pPr>
              <w:tabs>
                <w:tab w:val="left" w:pos="360"/>
                <w:tab w:val="left" w:pos="720"/>
                <w:tab w:val="left" w:pos="1080"/>
                <w:tab w:val="left" w:pos="1440"/>
                <w:tab w:val="left" w:pos="1800"/>
                <w:tab w:val="left" w:pos="2160"/>
                <w:tab w:val="left" w:pos="2520"/>
                <w:tab w:val="left" w:pos="2880"/>
              </w:tabs>
              <w:spacing w:after="120" w:line="240" w:lineRule="auto"/>
              <w:rPr>
                <w:rFonts w:ascii="Verdana" w:eastAsia="Calibri" w:hAnsi="Verdana" w:cs="Times New Roman"/>
                <w:sz w:val="18"/>
                <w:szCs w:val="18"/>
              </w:rPr>
            </w:pPr>
            <w:r>
              <w:rPr>
                <w:rFonts w:ascii="Verdana" w:hAnsi="Verdana"/>
                <w:sz w:val="18"/>
                <w:szCs w:val="18"/>
              </w:rPr>
              <w:t>Procedure:</w:t>
            </w:r>
          </w:p>
          <w:p w:rsidR="0000236C" w:rsidRDefault="0000236C">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Page:</w:t>
            </w:r>
          </w:p>
          <w:p w:rsidR="0000236C" w:rsidRDefault="0000236C">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Date Authorized:</w:t>
            </w:r>
          </w:p>
          <w:p w:rsidR="0000236C" w:rsidRDefault="0000236C">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 xml:space="preserve">Supersedes:                </w:t>
            </w:r>
          </w:p>
        </w:tc>
        <w:tc>
          <w:tcPr>
            <w:tcW w:w="1368" w:type="dxa"/>
            <w:tcBorders>
              <w:top w:val="threeDEmboss" w:sz="6" w:space="0" w:color="auto"/>
              <w:left w:val="nil"/>
              <w:bottom w:val="threeDEmboss" w:sz="6" w:space="0" w:color="auto"/>
              <w:right w:val="threeDEmboss" w:sz="6" w:space="0" w:color="auto"/>
            </w:tcBorders>
          </w:tcPr>
          <w:p w:rsidR="0000236C" w:rsidRDefault="0000236C">
            <w:pPr>
              <w:pStyle w:val="Header"/>
              <w:spacing w:after="120"/>
              <w:jc w:val="right"/>
              <w:rPr>
                <w:rStyle w:val="PageNumber"/>
                <w:rFonts w:ascii="Verdana" w:hAnsi="Verdana"/>
                <w:sz w:val="18"/>
                <w:szCs w:val="18"/>
              </w:rPr>
            </w:pPr>
          </w:p>
          <w:p w:rsidR="0000236C" w:rsidRDefault="004F5A8B">
            <w:pPr>
              <w:pStyle w:val="Header"/>
              <w:spacing w:after="120"/>
              <w:jc w:val="right"/>
            </w:pPr>
            <w:r>
              <w:rPr>
                <w:rStyle w:val="PageNumber"/>
                <w:rFonts w:ascii="Verdana" w:hAnsi="Verdana"/>
                <w:sz w:val="18"/>
                <w:szCs w:val="18"/>
              </w:rPr>
              <w:fldChar w:fldCharType="begin"/>
            </w:r>
            <w:r w:rsidR="0000236C">
              <w:rPr>
                <w:rStyle w:val="PageNumber"/>
                <w:rFonts w:ascii="Verdana" w:hAnsi="Verdana"/>
                <w:sz w:val="18"/>
                <w:szCs w:val="18"/>
              </w:rPr>
              <w:instrText xml:space="preserve"> PAGE </w:instrText>
            </w:r>
            <w:r>
              <w:rPr>
                <w:rStyle w:val="PageNumber"/>
                <w:rFonts w:ascii="Verdana" w:hAnsi="Verdana"/>
                <w:sz w:val="18"/>
                <w:szCs w:val="18"/>
              </w:rPr>
              <w:fldChar w:fldCharType="separate"/>
            </w:r>
            <w:r w:rsidR="0000236C">
              <w:rPr>
                <w:rStyle w:val="PageNumber"/>
                <w:rFonts w:ascii="Verdana" w:hAnsi="Verdana"/>
                <w:noProof/>
                <w:sz w:val="18"/>
                <w:szCs w:val="18"/>
              </w:rPr>
              <w:t>1</w:t>
            </w:r>
            <w:r>
              <w:rPr>
                <w:rStyle w:val="PageNumber"/>
                <w:rFonts w:ascii="Verdana" w:hAnsi="Verdana"/>
                <w:sz w:val="18"/>
                <w:szCs w:val="18"/>
              </w:rPr>
              <w:fldChar w:fldCharType="end"/>
            </w:r>
            <w:r w:rsidR="0000236C">
              <w:rPr>
                <w:rFonts w:ascii="Verdana" w:hAnsi="Verdana"/>
                <w:sz w:val="18"/>
                <w:szCs w:val="18"/>
              </w:rPr>
              <w:t xml:space="preserve"> of 2</w:t>
            </w:r>
          </w:p>
          <w:p w:rsidR="0000236C" w:rsidRDefault="0000236C">
            <w:pPr>
              <w:pStyle w:val="Header"/>
              <w:spacing w:after="120"/>
              <w:jc w:val="right"/>
              <w:rPr>
                <w:rFonts w:ascii="Verdana" w:hAnsi="Verdana"/>
                <w:sz w:val="18"/>
                <w:szCs w:val="18"/>
              </w:rPr>
            </w:pPr>
            <w:r>
              <w:rPr>
                <w:rFonts w:ascii="Verdana" w:hAnsi="Verdana"/>
                <w:sz w:val="18"/>
                <w:szCs w:val="18"/>
              </w:rPr>
              <w:t>XX/XX/2013</w:t>
            </w:r>
          </w:p>
          <w:p w:rsidR="0000236C" w:rsidRDefault="0000236C">
            <w:pPr>
              <w:pStyle w:val="Header"/>
              <w:spacing w:after="120"/>
              <w:jc w:val="right"/>
              <w:rPr>
                <w:rFonts w:ascii="Verdana" w:hAnsi="Verdana"/>
                <w:sz w:val="18"/>
                <w:szCs w:val="18"/>
              </w:rPr>
            </w:pPr>
          </w:p>
        </w:tc>
      </w:tr>
    </w:tbl>
    <w:p w:rsidR="00E63B10" w:rsidRDefault="00E63B10" w:rsidP="003E6F4C">
      <w:pPr>
        <w:pStyle w:val="NoSpacing"/>
      </w:pPr>
    </w:p>
    <w:p w:rsidR="00A3101A" w:rsidRDefault="00A3101A" w:rsidP="00A3101A">
      <w:pPr>
        <w:pStyle w:val="NoSpacing"/>
        <w:jc w:val="both"/>
      </w:pPr>
      <w:r>
        <w:t xml:space="preserve">This policy, as amended by the direction of the Hidalgo County Commissioners Court, shall apply to all FLSA Non-Covered County Employees and is intended to supersede Civil Service Commission Rules Section 7.60 - 7.62, and Hidalgo County Personnel Manual Section 8.49 – 8.51.  This policy does not restrict County departments from establishing other departmental policies and procedures </w:t>
      </w:r>
      <w:r w:rsidR="002F1FC8">
        <w:t xml:space="preserve">that </w:t>
      </w:r>
      <w:r>
        <w:t>are not in conflict with th</w:t>
      </w:r>
      <w:r w:rsidR="00BB0B11">
        <w:t>is amendment</w:t>
      </w:r>
      <w:r>
        <w:t xml:space="preserve">, are consistent with good employment practices and promote equal employment opportunity. </w:t>
      </w:r>
    </w:p>
    <w:p w:rsidR="00883336" w:rsidRDefault="00883336" w:rsidP="003E6F4C">
      <w:pPr>
        <w:pStyle w:val="NoSpacing"/>
      </w:pPr>
    </w:p>
    <w:p w:rsidR="00E63B10" w:rsidRDefault="00E63B10" w:rsidP="0000236C">
      <w:pPr>
        <w:pStyle w:val="NoSpacing"/>
        <w:jc w:val="center"/>
        <w:rPr>
          <w:b/>
          <w:sz w:val="22"/>
        </w:rPr>
      </w:pPr>
      <w:r w:rsidRPr="00E63B10">
        <w:rPr>
          <w:b/>
          <w:sz w:val="22"/>
        </w:rPr>
        <w:t>COMP</w:t>
      </w:r>
      <w:r w:rsidR="00EF0FFA">
        <w:rPr>
          <w:b/>
          <w:sz w:val="22"/>
        </w:rPr>
        <w:t>ARABLE LEAVE</w:t>
      </w:r>
      <w:r w:rsidRPr="00E63B10">
        <w:rPr>
          <w:b/>
          <w:sz w:val="22"/>
        </w:rPr>
        <w:t xml:space="preserve"> – FLSA </w:t>
      </w:r>
      <w:r w:rsidR="002D2A6C">
        <w:rPr>
          <w:b/>
          <w:sz w:val="22"/>
        </w:rPr>
        <w:t>NON-COVERED</w:t>
      </w:r>
      <w:r w:rsidRPr="00E63B10">
        <w:rPr>
          <w:b/>
          <w:sz w:val="22"/>
        </w:rPr>
        <w:t xml:space="preserve"> EMPLOYEES</w:t>
      </w:r>
    </w:p>
    <w:p w:rsidR="00E63B10" w:rsidRDefault="00E63B10" w:rsidP="003E6F4C">
      <w:pPr>
        <w:pStyle w:val="NoSpacing"/>
        <w:rPr>
          <w:b/>
          <w:sz w:val="22"/>
        </w:rPr>
      </w:pPr>
    </w:p>
    <w:p w:rsidR="00E63B10" w:rsidRDefault="00E63B10" w:rsidP="0000236C">
      <w:pPr>
        <w:pStyle w:val="NoSpacing"/>
        <w:numPr>
          <w:ilvl w:val="0"/>
          <w:numId w:val="2"/>
        </w:numPr>
        <w:jc w:val="both"/>
        <w:rPr>
          <w:szCs w:val="24"/>
        </w:rPr>
      </w:pPr>
      <w:r w:rsidRPr="00E63B10">
        <w:rPr>
          <w:szCs w:val="24"/>
        </w:rPr>
        <w:t>An FLSA non-covered employee is one whose job functions are executive,</w:t>
      </w:r>
      <w:r>
        <w:rPr>
          <w:szCs w:val="24"/>
        </w:rPr>
        <w:t xml:space="preserve"> administrative, or professional as defined by the FLSA or who </w:t>
      </w:r>
      <w:r w:rsidR="00883336">
        <w:rPr>
          <w:szCs w:val="24"/>
        </w:rPr>
        <w:t>qualifies</w:t>
      </w:r>
      <w:r>
        <w:rPr>
          <w:szCs w:val="24"/>
        </w:rPr>
        <w:t xml:space="preserve"> for the special exemption for employees of political subdivisions.  </w:t>
      </w:r>
      <w:r w:rsidR="00883336">
        <w:rPr>
          <w:szCs w:val="24"/>
        </w:rPr>
        <w:t>The County of Hidalgo is not required to provide any compensation to Exempt Employees in addition to the employee’s regular salary</w:t>
      </w:r>
      <w:r>
        <w:rPr>
          <w:szCs w:val="24"/>
        </w:rPr>
        <w:t>.</w:t>
      </w:r>
    </w:p>
    <w:p w:rsidR="0000236C" w:rsidRDefault="0000236C" w:rsidP="0000236C">
      <w:pPr>
        <w:pStyle w:val="NoSpacing"/>
        <w:ind w:left="1080"/>
        <w:jc w:val="both"/>
        <w:rPr>
          <w:szCs w:val="24"/>
        </w:rPr>
      </w:pPr>
    </w:p>
    <w:p w:rsidR="0000236C" w:rsidRDefault="00EA0A21" w:rsidP="00EA0A21">
      <w:pPr>
        <w:pStyle w:val="NoSpacing"/>
        <w:numPr>
          <w:ilvl w:val="0"/>
          <w:numId w:val="2"/>
        </w:numPr>
        <w:jc w:val="both"/>
        <w:rPr>
          <w:szCs w:val="24"/>
        </w:rPr>
      </w:pPr>
      <w:r>
        <w:rPr>
          <w:szCs w:val="24"/>
        </w:rPr>
        <w:t xml:space="preserve">Fulltime Exempt Employees are eligible to use and accumulate </w:t>
      </w:r>
      <w:r w:rsidR="00883336">
        <w:rPr>
          <w:szCs w:val="24"/>
        </w:rPr>
        <w:t xml:space="preserve">Comparable </w:t>
      </w:r>
      <w:r>
        <w:rPr>
          <w:szCs w:val="24"/>
        </w:rPr>
        <w:t xml:space="preserve">Leave for hours worked over forty (40) hours in a </w:t>
      </w:r>
      <w:r w:rsidR="00AA37D9">
        <w:rPr>
          <w:szCs w:val="24"/>
        </w:rPr>
        <w:t xml:space="preserve">regular </w:t>
      </w:r>
      <w:r>
        <w:rPr>
          <w:szCs w:val="24"/>
        </w:rPr>
        <w:t>work</w:t>
      </w:r>
      <w:r w:rsidR="000A5CFD">
        <w:rPr>
          <w:szCs w:val="24"/>
        </w:rPr>
        <w:t xml:space="preserve"> period</w:t>
      </w:r>
      <w:r>
        <w:rPr>
          <w:szCs w:val="24"/>
        </w:rPr>
        <w:t xml:space="preserve">, accruable on an hour-for-hour basis.  The prior approval of the immediate supervisor is required for the accrual of </w:t>
      </w:r>
      <w:r w:rsidR="00883336">
        <w:rPr>
          <w:szCs w:val="24"/>
        </w:rPr>
        <w:t xml:space="preserve">Comparable </w:t>
      </w:r>
      <w:r>
        <w:rPr>
          <w:szCs w:val="24"/>
        </w:rPr>
        <w:t>Leave.</w:t>
      </w:r>
    </w:p>
    <w:p w:rsidR="0000236C" w:rsidRDefault="0000236C" w:rsidP="0000236C">
      <w:pPr>
        <w:pStyle w:val="ListParagraph"/>
        <w:rPr>
          <w:b/>
          <w:szCs w:val="24"/>
        </w:rPr>
      </w:pPr>
    </w:p>
    <w:p w:rsidR="00EA0A21" w:rsidRDefault="00EA0A21" w:rsidP="00EA0A21">
      <w:pPr>
        <w:pStyle w:val="NoSpacing"/>
        <w:numPr>
          <w:ilvl w:val="0"/>
          <w:numId w:val="2"/>
        </w:numPr>
        <w:jc w:val="both"/>
        <w:rPr>
          <w:szCs w:val="24"/>
        </w:rPr>
      </w:pPr>
      <w:r w:rsidRPr="0000236C">
        <w:rPr>
          <w:szCs w:val="24"/>
        </w:rPr>
        <w:t xml:space="preserve">Hours worked in excess of the scheduled number of hours for the </w:t>
      </w:r>
      <w:r w:rsidR="00AA37D9" w:rsidRPr="0000236C">
        <w:rPr>
          <w:szCs w:val="24"/>
        </w:rPr>
        <w:t xml:space="preserve">regular </w:t>
      </w:r>
      <w:r w:rsidRPr="0000236C">
        <w:rPr>
          <w:szCs w:val="24"/>
        </w:rPr>
        <w:t>work</w:t>
      </w:r>
      <w:r w:rsidR="000A5CFD" w:rsidRPr="0000236C">
        <w:rPr>
          <w:szCs w:val="24"/>
        </w:rPr>
        <w:t xml:space="preserve"> period</w:t>
      </w:r>
      <w:r w:rsidRPr="0000236C">
        <w:rPr>
          <w:szCs w:val="24"/>
        </w:rPr>
        <w:t xml:space="preserve"> will be calculated on an hour-for-hour basis and accrued as </w:t>
      </w:r>
      <w:r w:rsidR="00883336" w:rsidRPr="0000236C">
        <w:rPr>
          <w:szCs w:val="24"/>
        </w:rPr>
        <w:t>Comparable</w:t>
      </w:r>
      <w:r w:rsidRPr="0000236C">
        <w:rPr>
          <w:szCs w:val="24"/>
        </w:rPr>
        <w:t xml:space="preserve"> Leave.</w:t>
      </w:r>
    </w:p>
    <w:p w:rsidR="0000236C" w:rsidRDefault="0000236C" w:rsidP="0000236C">
      <w:pPr>
        <w:pStyle w:val="ListParagraph"/>
        <w:rPr>
          <w:szCs w:val="24"/>
        </w:rPr>
      </w:pPr>
    </w:p>
    <w:p w:rsidR="0000236C" w:rsidRDefault="0000236C" w:rsidP="0000236C">
      <w:pPr>
        <w:pStyle w:val="NoSpacing"/>
        <w:numPr>
          <w:ilvl w:val="0"/>
          <w:numId w:val="2"/>
        </w:numPr>
        <w:jc w:val="both"/>
        <w:rPr>
          <w:b/>
          <w:szCs w:val="24"/>
        </w:rPr>
      </w:pPr>
      <w:r>
        <w:rPr>
          <w:szCs w:val="24"/>
        </w:rPr>
        <w:t>A</w:t>
      </w:r>
      <w:r w:rsidR="00EA0A21" w:rsidRPr="000A789F">
        <w:rPr>
          <w:szCs w:val="24"/>
        </w:rPr>
        <w:t xml:space="preserve">ny </w:t>
      </w:r>
      <w:r w:rsidR="00883336" w:rsidRPr="000A789F">
        <w:rPr>
          <w:szCs w:val="24"/>
        </w:rPr>
        <w:t>Comparable</w:t>
      </w:r>
      <w:r w:rsidR="00EA0A21" w:rsidRPr="000A789F">
        <w:rPr>
          <w:szCs w:val="24"/>
        </w:rPr>
        <w:t xml:space="preserve"> Leave previously recorded befor</w:t>
      </w:r>
      <w:r w:rsidR="006F2F54" w:rsidRPr="000A789F">
        <w:rPr>
          <w:szCs w:val="24"/>
        </w:rPr>
        <w:t xml:space="preserve">e the adoption of this policy shall be limited to no more than 40 hours, and must be used within the first year of implementation of this policy, any hours not used shall be </w:t>
      </w:r>
      <w:r w:rsidR="00EA0A21" w:rsidRPr="000A789F">
        <w:rPr>
          <w:szCs w:val="24"/>
        </w:rPr>
        <w:t>forfeited.</w:t>
      </w:r>
    </w:p>
    <w:p w:rsidR="0000236C" w:rsidRDefault="0000236C" w:rsidP="0000236C">
      <w:pPr>
        <w:pStyle w:val="ListParagraph"/>
        <w:rPr>
          <w:b/>
          <w:szCs w:val="24"/>
        </w:rPr>
      </w:pPr>
    </w:p>
    <w:p w:rsidR="0000236C" w:rsidRDefault="00883336" w:rsidP="005F78A8">
      <w:pPr>
        <w:pStyle w:val="NoSpacing"/>
        <w:numPr>
          <w:ilvl w:val="0"/>
          <w:numId w:val="2"/>
        </w:numPr>
        <w:jc w:val="both"/>
        <w:rPr>
          <w:szCs w:val="24"/>
        </w:rPr>
      </w:pPr>
      <w:r w:rsidRPr="0000236C">
        <w:rPr>
          <w:szCs w:val="24"/>
        </w:rPr>
        <w:t>Comparable</w:t>
      </w:r>
      <w:r w:rsidR="00EA0A21" w:rsidRPr="0000236C">
        <w:rPr>
          <w:szCs w:val="24"/>
        </w:rPr>
        <w:t xml:space="preserve"> Leave </w:t>
      </w:r>
      <w:r w:rsidR="002D2A6C" w:rsidRPr="0000236C">
        <w:rPr>
          <w:i/>
          <w:szCs w:val="24"/>
        </w:rPr>
        <w:t xml:space="preserve">shall be limited to no more than </w:t>
      </w:r>
      <w:r w:rsidR="00756E08" w:rsidRPr="0000236C">
        <w:rPr>
          <w:i/>
          <w:szCs w:val="24"/>
        </w:rPr>
        <w:t>40</w:t>
      </w:r>
      <w:r w:rsidR="002D2A6C" w:rsidRPr="0000236C">
        <w:rPr>
          <w:i/>
          <w:szCs w:val="24"/>
        </w:rPr>
        <w:t xml:space="preserve"> hours and </w:t>
      </w:r>
      <w:r w:rsidR="00EA0A21" w:rsidRPr="0000236C">
        <w:rPr>
          <w:szCs w:val="24"/>
        </w:rPr>
        <w:t>must be used within the immediate 12-month period following the end of the work</w:t>
      </w:r>
      <w:r w:rsidR="000A5CFD" w:rsidRPr="0000236C">
        <w:rPr>
          <w:szCs w:val="24"/>
        </w:rPr>
        <w:t xml:space="preserve"> period</w:t>
      </w:r>
      <w:r w:rsidR="00EA0A21" w:rsidRPr="0000236C">
        <w:rPr>
          <w:szCs w:val="24"/>
        </w:rPr>
        <w:t xml:space="preserve"> in which the excess hours were worked.  </w:t>
      </w:r>
      <w:r w:rsidR="00756E08" w:rsidRPr="0000236C">
        <w:rPr>
          <w:szCs w:val="24"/>
        </w:rPr>
        <w:t>Comparable</w:t>
      </w:r>
      <w:r w:rsidR="00EA0A21" w:rsidRPr="0000236C">
        <w:rPr>
          <w:szCs w:val="24"/>
        </w:rPr>
        <w:t xml:space="preserve"> Leave not used within the 12-month period will be forfeited.</w:t>
      </w:r>
    </w:p>
    <w:p w:rsidR="0000236C" w:rsidRDefault="0000236C" w:rsidP="0000236C">
      <w:pPr>
        <w:pStyle w:val="ListParagraph"/>
        <w:rPr>
          <w:szCs w:val="24"/>
        </w:rPr>
      </w:pPr>
    </w:p>
    <w:p w:rsidR="0000236C" w:rsidRDefault="00EA0A21" w:rsidP="005F78A8">
      <w:pPr>
        <w:pStyle w:val="NoSpacing"/>
        <w:numPr>
          <w:ilvl w:val="0"/>
          <w:numId w:val="2"/>
        </w:numPr>
        <w:jc w:val="both"/>
        <w:rPr>
          <w:szCs w:val="24"/>
        </w:rPr>
      </w:pPr>
      <w:r w:rsidRPr="0000236C">
        <w:rPr>
          <w:szCs w:val="24"/>
        </w:rPr>
        <w:t>Exempt Employees who retire, resign, or are otherwise separated from employment with Hidalgo County</w:t>
      </w:r>
      <w:r w:rsidR="003C1429" w:rsidRPr="0000236C">
        <w:rPr>
          <w:szCs w:val="24"/>
        </w:rPr>
        <w:t xml:space="preserve"> are not eligible to be paid for </w:t>
      </w:r>
      <w:r w:rsidR="00756E08" w:rsidRPr="0000236C">
        <w:rPr>
          <w:szCs w:val="24"/>
        </w:rPr>
        <w:t xml:space="preserve">Comparable </w:t>
      </w:r>
      <w:r w:rsidR="003C1429" w:rsidRPr="0000236C">
        <w:rPr>
          <w:szCs w:val="24"/>
        </w:rPr>
        <w:t xml:space="preserve">Leave at time of separation.  An employee’s separation date may not be scheduled in order to allow for use of </w:t>
      </w:r>
      <w:r w:rsidR="00756E08" w:rsidRPr="0000236C">
        <w:rPr>
          <w:szCs w:val="24"/>
        </w:rPr>
        <w:t>Comparable</w:t>
      </w:r>
      <w:r w:rsidR="003C1429" w:rsidRPr="0000236C">
        <w:rPr>
          <w:szCs w:val="24"/>
        </w:rPr>
        <w:t xml:space="preserve"> Leave.</w:t>
      </w:r>
    </w:p>
    <w:p w:rsidR="0000236C" w:rsidRDefault="0000236C" w:rsidP="0000236C">
      <w:pPr>
        <w:pStyle w:val="ListParagraph"/>
        <w:rPr>
          <w:b/>
          <w:szCs w:val="24"/>
        </w:rPr>
      </w:pPr>
    </w:p>
    <w:p w:rsidR="00540578" w:rsidRDefault="00540578" w:rsidP="0000236C">
      <w:pPr>
        <w:pStyle w:val="ListParagraph"/>
        <w:rPr>
          <w:b/>
          <w:szCs w:val="24"/>
        </w:rPr>
      </w:pPr>
    </w:p>
    <w:p w:rsidR="00540578" w:rsidRDefault="00540578" w:rsidP="0000236C">
      <w:pPr>
        <w:pStyle w:val="ListParagraph"/>
        <w:rPr>
          <w:b/>
          <w:szCs w:val="24"/>
        </w:rPr>
      </w:pPr>
    </w:p>
    <w:p w:rsidR="00540578" w:rsidRDefault="00540578" w:rsidP="0000236C">
      <w:pPr>
        <w:pStyle w:val="ListParagraph"/>
        <w:rPr>
          <w:b/>
          <w:szCs w:val="24"/>
        </w:rPr>
      </w:pPr>
    </w:p>
    <w:tbl>
      <w:tblPr>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6408"/>
        <w:gridCol w:w="1800"/>
        <w:gridCol w:w="1368"/>
      </w:tblGrid>
      <w:tr w:rsidR="00692A33" w:rsidTr="00692A33">
        <w:trPr>
          <w:trHeight w:hRule="exact" w:val="1440"/>
        </w:trPr>
        <w:tc>
          <w:tcPr>
            <w:tcW w:w="6408" w:type="dxa"/>
            <w:tcBorders>
              <w:top w:val="threeDEmboss" w:sz="6" w:space="0" w:color="auto"/>
              <w:left w:val="threeDEmboss" w:sz="6" w:space="0" w:color="auto"/>
              <w:bottom w:val="threeDEmboss" w:sz="6" w:space="0" w:color="auto"/>
              <w:right w:val="threeDEmboss" w:sz="6" w:space="0" w:color="auto"/>
            </w:tcBorders>
            <w:vAlign w:val="center"/>
            <w:hideMark/>
          </w:tcPr>
          <w:p w:rsidR="00692A33" w:rsidRDefault="00692A33" w:rsidP="00692A33">
            <w:pPr>
              <w:pStyle w:val="Heading3"/>
              <w:rPr>
                <w:rFonts w:cstheme="minorBidi"/>
              </w:rPr>
            </w:pPr>
            <w:r>
              <w:rPr>
                <w:rFonts w:cstheme="minorBidi"/>
              </w:rPr>
              <w:t>Hidalgo County, Texas</w:t>
            </w:r>
          </w:p>
          <w:p w:rsidR="00000EF4" w:rsidRDefault="00000EF4" w:rsidP="00000EF4">
            <w:pPr>
              <w:pStyle w:val="Heading1"/>
              <w:tabs>
                <w:tab w:val="left" w:pos="360"/>
                <w:tab w:val="left" w:pos="720"/>
                <w:tab w:val="left" w:pos="1080"/>
                <w:tab w:val="left" w:pos="1440"/>
                <w:tab w:val="left" w:pos="1800"/>
                <w:tab w:val="left" w:pos="2160"/>
                <w:tab w:val="left" w:pos="2520"/>
                <w:tab w:val="left" w:pos="2880"/>
              </w:tabs>
              <w:spacing w:before="120" w:after="120"/>
              <w:rPr>
                <w:rFonts w:cstheme="minorBidi"/>
                <w:sz w:val="28"/>
              </w:rPr>
            </w:pPr>
            <w:r>
              <w:rPr>
                <w:rFonts w:cstheme="minorBidi"/>
                <w:sz w:val="28"/>
              </w:rPr>
              <w:t>AMENDED PERSONNEL POLICY</w:t>
            </w:r>
          </w:p>
          <w:p w:rsidR="00692A33" w:rsidRDefault="00000EF4" w:rsidP="00000EF4">
            <w:pPr>
              <w:pStyle w:val="Heading1"/>
              <w:tabs>
                <w:tab w:val="left" w:pos="360"/>
                <w:tab w:val="left" w:pos="720"/>
                <w:tab w:val="left" w:pos="1080"/>
                <w:tab w:val="left" w:pos="1440"/>
                <w:tab w:val="left" w:pos="1800"/>
                <w:tab w:val="left" w:pos="2160"/>
                <w:tab w:val="left" w:pos="2520"/>
                <w:tab w:val="left" w:pos="2880"/>
              </w:tabs>
              <w:spacing w:before="120" w:after="120"/>
              <w:rPr>
                <w:rFonts w:cstheme="minorBidi"/>
              </w:rPr>
            </w:pPr>
            <w:r>
              <w:rPr>
                <w:rFonts w:cstheme="minorBidi"/>
                <w:sz w:val="28"/>
              </w:rPr>
              <w:t>FLSA NON-COVERED EMPLOYEES</w:t>
            </w:r>
          </w:p>
        </w:tc>
        <w:tc>
          <w:tcPr>
            <w:tcW w:w="1800" w:type="dxa"/>
            <w:tcBorders>
              <w:top w:val="threeDEmboss" w:sz="6" w:space="0" w:color="auto"/>
              <w:left w:val="threeDEmboss" w:sz="6" w:space="0" w:color="auto"/>
              <w:bottom w:val="threeDEmboss" w:sz="6" w:space="0" w:color="auto"/>
              <w:right w:val="nil"/>
            </w:tcBorders>
            <w:hideMark/>
          </w:tcPr>
          <w:p w:rsidR="00692A33" w:rsidRDefault="00692A33" w:rsidP="00692A33">
            <w:pPr>
              <w:tabs>
                <w:tab w:val="left" w:pos="360"/>
                <w:tab w:val="left" w:pos="720"/>
                <w:tab w:val="left" w:pos="1080"/>
                <w:tab w:val="left" w:pos="1440"/>
                <w:tab w:val="left" w:pos="1800"/>
                <w:tab w:val="left" w:pos="2160"/>
                <w:tab w:val="left" w:pos="2520"/>
                <w:tab w:val="left" w:pos="2880"/>
              </w:tabs>
              <w:spacing w:after="120" w:line="240" w:lineRule="auto"/>
              <w:rPr>
                <w:rFonts w:ascii="Verdana" w:eastAsia="Calibri" w:hAnsi="Verdana" w:cs="Times New Roman"/>
                <w:sz w:val="18"/>
                <w:szCs w:val="18"/>
              </w:rPr>
            </w:pPr>
            <w:r>
              <w:rPr>
                <w:rFonts w:ascii="Verdana" w:hAnsi="Verdana"/>
                <w:sz w:val="18"/>
                <w:szCs w:val="18"/>
              </w:rPr>
              <w:t>Procedure:</w:t>
            </w:r>
          </w:p>
          <w:p w:rsidR="00692A33" w:rsidRDefault="00692A33" w:rsidP="00692A33">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Page:</w:t>
            </w:r>
          </w:p>
          <w:p w:rsidR="00692A33" w:rsidRDefault="00692A33" w:rsidP="00692A33">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Date Authorized:</w:t>
            </w:r>
          </w:p>
          <w:p w:rsidR="00692A33" w:rsidRDefault="00692A33" w:rsidP="00692A33">
            <w:pPr>
              <w:tabs>
                <w:tab w:val="left" w:pos="360"/>
                <w:tab w:val="left" w:pos="720"/>
                <w:tab w:val="left" w:pos="1080"/>
                <w:tab w:val="left" w:pos="1440"/>
                <w:tab w:val="left" w:pos="1800"/>
                <w:tab w:val="left" w:pos="2160"/>
                <w:tab w:val="left" w:pos="2520"/>
                <w:tab w:val="left" w:pos="2880"/>
              </w:tabs>
              <w:spacing w:after="120" w:line="240" w:lineRule="auto"/>
              <w:rPr>
                <w:rFonts w:ascii="Verdana" w:hAnsi="Verdana"/>
                <w:sz w:val="18"/>
                <w:szCs w:val="18"/>
              </w:rPr>
            </w:pPr>
            <w:r>
              <w:rPr>
                <w:rFonts w:ascii="Verdana" w:hAnsi="Verdana"/>
                <w:sz w:val="18"/>
                <w:szCs w:val="18"/>
              </w:rPr>
              <w:t xml:space="preserve">Supersedes:                </w:t>
            </w:r>
          </w:p>
        </w:tc>
        <w:tc>
          <w:tcPr>
            <w:tcW w:w="1368" w:type="dxa"/>
            <w:tcBorders>
              <w:top w:val="threeDEmboss" w:sz="6" w:space="0" w:color="auto"/>
              <w:left w:val="nil"/>
              <w:bottom w:val="threeDEmboss" w:sz="6" w:space="0" w:color="auto"/>
              <w:right w:val="threeDEmboss" w:sz="6" w:space="0" w:color="auto"/>
            </w:tcBorders>
          </w:tcPr>
          <w:p w:rsidR="00692A33" w:rsidRDefault="00692A33" w:rsidP="00692A33">
            <w:pPr>
              <w:pStyle w:val="Header"/>
              <w:spacing w:after="120"/>
              <w:jc w:val="right"/>
              <w:rPr>
                <w:rStyle w:val="PageNumber"/>
                <w:rFonts w:ascii="Verdana" w:hAnsi="Verdana"/>
                <w:sz w:val="18"/>
                <w:szCs w:val="18"/>
              </w:rPr>
            </w:pPr>
          </w:p>
          <w:p w:rsidR="00692A33" w:rsidRDefault="00692A33" w:rsidP="00692A33">
            <w:pPr>
              <w:pStyle w:val="Header"/>
              <w:spacing w:after="120"/>
              <w:jc w:val="right"/>
            </w:pPr>
            <w:r>
              <w:rPr>
                <w:rStyle w:val="PageNumber"/>
                <w:rFonts w:ascii="Verdana" w:hAnsi="Verdana"/>
                <w:sz w:val="18"/>
                <w:szCs w:val="18"/>
              </w:rPr>
              <w:t>2</w:t>
            </w:r>
            <w:r>
              <w:rPr>
                <w:rFonts w:ascii="Verdana" w:hAnsi="Verdana"/>
                <w:sz w:val="18"/>
                <w:szCs w:val="18"/>
              </w:rPr>
              <w:t xml:space="preserve"> of 2</w:t>
            </w:r>
          </w:p>
          <w:p w:rsidR="00692A33" w:rsidRDefault="00692A33" w:rsidP="00692A33">
            <w:pPr>
              <w:pStyle w:val="Header"/>
              <w:spacing w:after="120"/>
              <w:jc w:val="right"/>
              <w:rPr>
                <w:rFonts w:ascii="Verdana" w:hAnsi="Verdana"/>
                <w:sz w:val="18"/>
                <w:szCs w:val="18"/>
              </w:rPr>
            </w:pPr>
            <w:r>
              <w:rPr>
                <w:rFonts w:ascii="Verdana" w:hAnsi="Verdana"/>
                <w:sz w:val="18"/>
                <w:szCs w:val="18"/>
              </w:rPr>
              <w:t>XX/XX/2013</w:t>
            </w:r>
          </w:p>
          <w:p w:rsidR="00692A33" w:rsidRDefault="00692A33" w:rsidP="00692A33">
            <w:pPr>
              <w:pStyle w:val="Header"/>
              <w:spacing w:after="120"/>
              <w:jc w:val="right"/>
              <w:rPr>
                <w:rFonts w:ascii="Verdana" w:hAnsi="Verdana"/>
                <w:sz w:val="18"/>
                <w:szCs w:val="18"/>
              </w:rPr>
            </w:pPr>
          </w:p>
        </w:tc>
      </w:tr>
    </w:tbl>
    <w:p w:rsidR="00540578" w:rsidRDefault="00540578" w:rsidP="0000236C">
      <w:pPr>
        <w:pStyle w:val="ListParagraph"/>
        <w:rPr>
          <w:b/>
          <w:szCs w:val="24"/>
        </w:rPr>
      </w:pPr>
    </w:p>
    <w:p w:rsidR="00540578" w:rsidRDefault="00540578" w:rsidP="0000236C">
      <w:pPr>
        <w:pStyle w:val="ListParagraph"/>
        <w:rPr>
          <w:b/>
          <w:szCs w:val="24"/>
        </w:rPr>
      </w:pPr>
    </w:p>
    <w:p w:rsidR="00777773" w:rsidRDefault="003C1429" w:rsidP="005F78A8">
      <w:pPr>
        <w:pStyle w:val="NoSpacing"/>
        <w:numPr>
          <w:ilvl w:val="0"/>
          <w:numId w:val="2"/>
        </w:numPr>
        <w:jc w:val="both"/>
        <w:rPr>
          <w:szCs w:val="24"/>
        </w:rPr>
      </w:pPr>
      <w:r w:rsidRPr="0000236C">
        <w:rPr>
          <w:b/>
          <w:szCs w:val="24"/>
        </w:rPr>
        <w:tab/>
      </w:r>
      <w:r w:rsidR="00756E08" w:rsidRPr="0000236C">
        <w:rPr>
          <w:szCs w:val="24"/>
        </w:rPr>
        <w:t xml:space="preserve">Comparable </w:t>
      </w:r>
      <w:r w:rsidRPr="0000236C">
        <w:rPr>
          <w:szCs w:val="24"/>
        </w:rPr>
        <w:t xml:space="preserve">Leave will </w:t>
      </w:r>
      <w:r w:rsidRPr="0000236C">
        <w:rPr>
          <w:b/>
          <w:i/>
          <w:szCs w:val="24"/>
          <w:u w:val="single"/>
        </w:rPr>
        <w:t xml:space="preserve">NOT </w:t>
      </w:r>
      <w:r w:rsidR="00777773" w:rsidRPr="0000236C">
        <w:rPr>
          <w:szCs w:val="24"/>
        </w:rPr>
        <w:t xml:space="preserve"> be earned for:</w:t>
      </w:r>
    </w:p>
    <w:p w:rsidR="0000236C" w:rsidRDefault="0000236C" w:rsidP="0000236C">
      <w:pPr>
        <w:pStyle w:val="ListParagraph"/>
        <w:rPr>
          <w:szCs w:val="24"/>
        </w:rPr>
      </w:pPr>
    </w:p>
    <w:p w:rsidR="00777773" w:rsidRDefault="00777773" w:rsidP="005F78A8">
      <w:pPr>
        <w:pStyle w:val="NoSpacing"/>
        <w:numPr>
          <w:ilvl w:val="0"/>
          <w:numId w:val="1"/>
        </w:numPr>
        <w:jc w:val="both"/>
        <w:rPr>
          <w:szCs w:val="24"/>
        </w:rPr>
      </w:pPr>
      <w:r>
        <w:rPr>
          <w:szCs w:val="24"/>
        </w:rPr>
        <w:t>Travel and meeting time for conferences, workshops or other meetings where the primary purpose for attending is professional development or continuing education;</w:t>
      </w:r>
    </w:p>
    <w:p w:rsidR="0000236C" w:rsidRDefault="0000236C" w:rsidP="0000236C">
      <w:pPr>
        <w:pStyle w:val="NoSpacing"/>
        <w:ind w:left="1440"/>
        <w:jc w:val="both"/>
        <w:rPr>
          <w:szCs w:val="24"/>
        </w:rPr>
      </w:pPr>
    </w:p>
    <w:p w:rsidR="00777773" w:rsidRDefault="00777773" w:rsidP="005F78A8">
      <w:pPr>
        <w:pStyle w:val="NoSpacing"/>
        <w:numPr>
          <w:ilvl w:val="0"/>
          <w:numId w:val="1"/>
        </w:numPr>
        <w:jc w:val="both"/>
        <w:rPr>
          <w:szCs w:val="24"/>
        </w:rPr>
      </w:pPr>
      <w:r>
        <w:rPr>
          <w:szCs w:val="24"/>
        </w:rPr>
        <w:t>Work performed during lunch;</w:t>
      </w:r>
    </w:p>
    <w:p w:rsidR="0000236C" w:rsidRDefault="0000236C" w:rsidP="0000236C">
      <w:pPr>
        <w:pStyle w:val="NoSpacing"/>
        <w:ind w:left="1440"/>
        <w:jc w:val="both"/>
        <w:rPr>
          <w:szCs w:val="24"/>
        </w:rPr>
      </w:pPr>
    </w:p>
    <w:p w:rsidR="0000236C" w:rsidRDefault="00777773" w:rsidP="005F78A8">
      <w:pPr>
        <w:pStyle w:val="NoSpacing"/>
        <w:numPr>
          <w:ilvl w:val="0"/>
          <w:numId w:val="1"/>
        </w:numPr>
        <w:jc w:val="both"/>
        <w:rPr>
          <w:szCs w:val="24"/>
        </w:rPr>
      </w:pPr>
      <w:r w:rsidRPr="0000236C">
        <w:rPr>
          <w:szCs w:val="24"/>
        </w:rPr>
        <w:t>Standby periods at home.</w:t>
      </w:r>
      <w:r w:rsidR="0000236C" w:rsidRPr="0000236C">
        <w:rPr>
          <w:szCs w:val="24"/>
        </w:rPr>
        <w:t xml:space="preserve">  </w:t>
      </w:r>
    </w:p>
    <w:p w:rsidR="0000236C" w:rsidRDefault="0000236C" w:rsidP="0000236C">
      <w:pPr>
        <w:pStyle w:val="ListParagraph"/>
        <w:rPr>
          <w:szCs w:val="24"/>
        </w:rPr>
      </w:pPr>
    </w:p>
    <w:p w:rsidR="0000236C" w:rsidRPr="0000236C" w:rsidRDefault="00756E08" w:rsidP="005F78A8">
      <w:pPr>
        <w:pStyle w:val="NoSpacing"/>
        <w:numPr>
          <w:ilvl w:val="0"/>
          <w:numId w:val="2"/>
        </w:numPr>
        <w:jc w:val="both"/>
        <w:rPr>
          <w:szCs w:val="24"/>
        </w:rPr>
      </w:pPr>
      <w:r w:rsidRPr="0000236C">
        <w:rPr>
          <w:szCs w:val="24"/>
        </w:rPr>
        <w:t xml:space="preserve">Comparable </w:t>
      </w:r>
      <w:r w:rsidR="00777773" w:rsidRPr="0000236C">
        <w:rPr>
          <w:szCs w:val="24"/>
        </w:rPr>
        <w:t xml:space="preserve">Leave earned in one Hidalgo County department cannot be converted to any other type of leave </w:t>
      </w:r>
      <w:r w:rsidR="00777773" w:rsidRPr="0000236C">
        <w:rPr>
          <w:i/>
          <w:szCs w:val="24"/>
        </w:rPr>
        <w:t>(i.e. annual leave</w:t>
      </w:r>
      <w:r w:rsidR="00777773" w:rsidRPr="0000236C">
        <w:rPr>
          <w:szCs w:val="24"/>
        </w:rPr>
        <w:t xml:space="preserve">) or transferred to another County department.  </w:t>
      </w:r>
      <w:r w:rsidRPr="0000236C">
        <w:rPr>
          <w:szCs w:val="24"/>
        </w:rPr>
        <w:t xml:space="preserve">Comparable </w:t>
      </w:r>
      <w:r w:rsidR="00777773" w:rsidRPr="0000236C">
        <w:rPr>
          <w:szCs w:val="24"/>
        </w:rPr>
        <w:t xml:space="preserve">Leave cannot be used to replace or reimburse leave previously taken </w:t>
      </w:r>
      <w:r w:rsidR="00777773" w:rsidRPr="0000236C">
        <w:rPr>
          <w:i/>
          <w:szCs w:val="24"/>
        </w:rPr>
        <w:t xml:space="preserve">(i.e. </w:t>
      </w:r>
      <w:r w:rsidR="00540578" w:rsidRPr="0000236C">
        <w:rPr>
          <w:i/>
          <w:szCs w:val="24"/>
        </w:rPr>
        <w:t>comparable leave</w:t>
      </w:r>
      <w:r w:rsidR="00777773" w:rsidRPr="0000236C">
        <w:rPr>
          <w:i/>
          <w:szCs w:val="24"/>
        </w:rPr>
        <w:t xml:space="preserve"> must be earned before the date it is used).</w:t>
      </w:r>
    </w:p>
    <w:p w:rsidR="0000236C" w:rsidRPr="0000236C" w:rsidRDefault="0000236C" w:rsidP="0000236C">
      <w:pPr>
        <w:pStyle w:val="NoSpacing"/>
        <w:ind w:left="1080"/>
        <w:jc w:val="both"/>
        <w:rPr>
          <w:szCs w:val="24"/>
        </w:rPr>
      </w:pPr>
    </w:p>
    <w:p w:rsidR="00777773" w:rsidRPr="0000236C" w:rsidRDefault="00777773" w:rsidP="005F78A8">
      <w:pPr>
        <w:pStyle w:val="NoSpacing"/>
        <w:numPr>
          <w:ilvl w:val="0"/>
          <w:numId w:val="2"/>
        </w:numPr>
        <w:jc w:val="both"/>
        <w:rPr>
          <w:szCs w:val="24"/>
        </w:rPr>
      </w:pPr>
      <w:r w:rsidRPr="0000236C">
        <w:rPr>
          <w:szCs w:val="24"/>
        </w:rPr>
        <w:t xml:space="preserve">All </w:t>
      </w:r>
      <w:r w:rsidR="00756E08" w:rsidRPr="0000236C">
        <w:rPr>
          <w:szCs w:val="24"/>
        </w:rPr>
        <w:t>Comparable</w:t>
      </w:r>
      <w:r w:rsidRPr="0000236C">
        <w:rPr>
          <w:szCs w:val="24"/>
        </w:rPr>
        <w:t xml:space="preserve"> Leave requested, approved and earned will be recorded on weekly time sheets.  Each supervisor will be responsible for monitoring the recording of </w:t>
      </w:r>
      <w:r w:rsidR="00756E08" w:rsidRPr="0000236C">
        <w:rPr>
          <w:szCs w:val="24"/>
        </w:rPr>
        <w:t>Comparable</w:t>
      </w:r>
      <w:r w:rsidRPr="0000236C">
        <w:rPr>
          <w:szCs w:val="24"/>
        </w:rPr>
        <w:t xml:space="preserve"> Leave.  By signing the weekly timesheets, a supervisor certifies the accuracy of the information as presented. </w:t>
      </w:r>
    </w:p>
    <w:p w:rsidR="00777773" w:rsidRDefault="00777773" w:rsidP="005F78A8">
      <w:pPr>
        <w:pStyle w:val="NoSpacing"/>
        <w:jc w:val="both"/>
        <w:rPr>
          <w:szCs w:val="24"/>
        </w:rPr>
      </w:pPr>
    </w:p>
    <w:p w:rsidR="0000236C" w:rsidRDefault="0000236C" w:rsidP="005F78A8">
      <w:pPr>
        <w:pStyle w:val="NoSpacing"/>
        <w:jc w:val="both"/>
        <w:rPr>
          <w:szCs w:val="24"/>
        </w:rPr>
      </w:pPr>
    </w:p>
    <w:p w:rsidR="0000236C" w:rsidRDefault="0000236C" w:rsidP="005F78A8">
      <w:pPr>
        <w:pStyle w:val="NoSpacing"/>
        <w:jc w:val="both"/>
        <w:rPr>
          <w:szCs w:val="24"/>
        </w:rPr>
      </w:pPr>
    </w:p>
    <w:p w:rsidR="00777773" w:rsidRPr="00487203" w:rsidRDefault="00AA37D9" w:rsidP="00545AED">
      <w:pPr>
        <w:pStyle w:val="NoSpacing"/>
        <w:jc w:val="both"/>
        <w:rPr>
          <w:i/>
          <w:szCs w:val="24"/>
        </w:rPr>
      </w:pPr>
      <w:r>
        <w:rPr>
          <w:szCs w:val="24"/>
        </w:rPr>
        <w:t xml:space="preserve"> </w:t>
      </w:r>
    </w:p>
    <w:p w:rsidR="00EA0A21" w:rsidRPr="00777773" w:rsidRDefault="00EA0A21" w:rsidP="00545AED">
      <w:pPr>
        <w:pStyle w:val="NoSpacing"/>
        <w:jc w:val="both"/>
        <w:rPr>
          <w:szCs w:val="24"/>
        </w:rPr>
      </w:pPr>
    </w:p>
    <w:p w:rsidR="00EA0A21" w:rsidRDefault="00EA0A21" w:rsidP="00545AED">
      <w:pPr>
        <w:pStyle w:val="NoSpacing"/>
        <w:jc w:val="both"/>
        <w:rPr>
          <w:szCs w:val="24"/>
        </w:rPr>
      </w:pPr>
    </w:p>
    <w:p w:rsidR="005F78A8" w:rsidRDefault="005F78A8" w:rsidP="003E6F4C">
      <w:pPr>
        <w:pStyle w:val="NoSpacing"/>
        <w:rPr>
          <w:szCs w:val="24"/>
        </w:rPr>
      </w:pPr>
    </w:p>
    <w:p w:rsidR="005F78A8" w:rsidRDefault="005F78A8" w:rsidP="003E6F4C">
      <w:pPr>
        <w:pStyle w:val="NoSpacing"/>
        <w:rPr>
          <w:szCs w:val="24"/>
        </w:rPr>
      </w:pPr>
    </w:p>
    <w:p w:rsidR="005F78A8" w:rsidRDefault="005F78A8" w:rsidP="003E6F4C">
      <w:pPr>
        <w:pStyle w:val="NoSpacing"/>
        <w:rPr>
          <w:szCs w:val="24"/>
        </w:rPr>
      </w:pPr>
    </w:p>
    <w:p w:rsidR="005F78A8" w:rsidRDefault="005F78A8" w:rsidP="003E6F4C">
      <w:pPr>
        <w:pStyle w:val="NoSpacing"/>
        <w:rPr>
          <w:szCs w:val="24"/>
        </w:rPr>
      </w:pPr>
    </w:p>
    <w:p w:rsidR="005F78A8" w:rsidRDefault="005F78A8" w:rsidP="003E6F4C">
      <w:pPr>
        <w:pStyle w:val="NoSpacing"/>
        <w:rPr>
          <w:szCs w:val="24"/>
        </w:rPr>
      </w:pPr>
    </w:p>
    <w:p w:rsidR="005F78A8" w:rsidRDefault="005F78A8" w:rsidP="003E6F4C">
      <w:pPr>
        <w:pStyle w:val="NoSpacing"/>
        <w:rPr>
          <w:szCs w:val="24"/>
        </w:rPr>
      </w:pPr>
    </w:p>
    <w:sectPr w:rsidR="005F78A8" w:rsidSect="009A5C6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6B5" w:rsidRDefault="00D836B5" w:rsidP="002D2A6C">
      <w:pPr>
        <w:spacing w:after="0" w:line="240" w:lineRule="auto"/>
      </w:pPr>
      <w:r>
        <w:separator/>
      </w:r>
    </w:p>
  </w:endnote>
  <w:endnote w:type="continuationSeparator" w:id="0">
    <w:p w:rsidR="00D836B5" w:rsidRDefault="00D836B5" w:rsidP="002D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01A" w:rsidRDefault="00A310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01A" w:rsidRDefault="00A310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01A" w:rsidRDefault="00A310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6B5" w:rsidRDefault="00D836B5" w:rsidP="002D2A6C">
      <w:pPr>
        <w:spacing w:after="0" w:line="240" w:lineRule="auto"/>
      </w:pPr>
      <w:r>
        <w:separator/>
      </w:r>
    </w:p>
  </w:footnote>
  <w:footnote w:type="continuationSeparator" w:id="0">
    <w:p w:rsidR="00D836B5" w:rsidRDefault="00D836B5" w:rsidP="002D2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01A" w:rsidRDefault="00A310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325"/>
      <w:docPartObj>
        <w:docPartGallery w:val="Watermarks"/>
        <w:docPartUnique/>
      </w:docPartObj>
    </w:sdtPr>
    <w:sdtEndPr/>
    <w:sdtContent>
      <w:p w:rsidR="00A3101A" w:rsidRDefault="00D836B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01A" w:rsidRDefault="00A310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87303"/>
    <w:multiLevelType w:val="hybridMultilevel"/>
    <w:tmpl w:val="B9ACA7E0"/>
    <w:lvl w:ilvl="0" w:tplc="D17AD92C">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6D5032"/>
    <w:multiLevelType w:val="hybridMultilevel"/>
    <w:tmpl w:val="FC4A5716"/>
    <w:lvl w:ilvl="0" w:tplc="A55E979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B10"/>
    <w:rsid w:val="00000EF4"/>
    <w:rsid w:val="0000236C"/>
    <w:rsid w:val="0000346E"/>
    <w:rsid w:val="00003B94"/>
    <w:rsid w:val="0000425B"/>
    <w:rsid w:val="000043A7"/>
    <w:rsid w:val="00006929"/>
    <w:rsid w:val="0001126F"/>
    <w:rsid w:val="00011A63"/>
    <w:rsid w:val="00014977"/>
    <w:rsid w:val="00015E6E"/>
    <w:rsid w:val="000163F1"/>
    <w:rsid w:val="00016FAB"/>
    <w:rsid w:val="00017F92"/>
    <w:rsid w:val="00023ACC"/>
    <w:rsid w:val="00023AD3"/>
    <w:rsid w:val="0002486D"/>
    <w:rsid w:val="0002591F"/>
    <w:rsid w:val="00030139"/>
    <w:rsid w:val="00030CBA"/>
    <w:rsid w:val="000312B4"/>
    <w:rsid w:val="0003167C"/>
    <w:rsid w:val="00031B81"/>
    <w:rsid w:val="00032392"/>
    <w:rsid w:val="00032770"/>
    <w:rsid w:val="00032BD9"/>
    <w:rsid w:val="00033067"/>
    <w:rsid w:val="000342AB"/>
    <w:rsid w:val="00040883"/>
    <w:rsid w:val="00040CEA"/>
    <w:rsid w:val="00042B11"/>
    <w:rsid w:val="0004724C"/>
    <w:rsid w:val="00050351"/>
    <w:rsid w:val="00051809"/>
    <w:rsid w:val="00051D61"/>
    <w:rsid w:val="00052257"/>
    <w:rsid w:val="0005316F"/>
    <w:rsid w:val="00053227"/>
    <w:rsid w:val="00054415"/>
    <w:rsid w:val="00054568"/>
    <w:rsid w:val="00056CBB"/>
    <w:rsid w:val="00061C70"/>
    <w:rsid w:val="00061F79"/>
    <w:rsid w:val="00061F8D"/>
    <w:rsid w:val="00062C8D"/>
    <w:rsid w:val="000633F2"/>
    <w:rsid w:val="0006415D"/>
    <w:rsid w:val="0006576F"/>
    <w:rsid w:val="00067178"/>
    <w:rsid w:val="00067AEF"/>
    <w:rsid w:val="00070C2E"/>
    <w:rsid w:val="000720AF"/>
    <w:rsid w:val="00072AC5"/>
    <w:rsid w:val="0007430B"/>
    <w:rsid w:val="00074FCC"/>
    <w:rsid w:val="000832E3"/>
    <w:rsid w:val="00083BE2"/>
    <w:rsid w:val="00084545"/>
    <w:rsid w:val="000858DE"/>
    <w:rsid w:val="00090213"/>
    <w:rsid w:val="00090242"/>
    <w:rsid w:val="000921C6"/>
    <w:rsid w:val="0009399C"/>
    <w:rsid w:val="00094B5A"/>
    <w:rsid w:val="000962BF"/>
    <w:rsid w:val="000A2176"/>
    <w:rsid w:val="000A492F"/>
    <w:rsid w:val="000A5CFD"/>
    <w:rsid w:val="000A789F"/>
    <w:rsid w:val="000A78BB"/>
    <w:rsid w:val="000B2F55"/>
    <w:rsid w:val="000B41C4"/>
    <w:rsid w:val="000B42E3"/>
    <w:rsid w:val="000C05BF"/>
    <w:rsid w:val="000C0B19"/>
    <w:rsid w:val="000C17D9"/>
    <w:rsid w:val="000C1A10"/>
    <w:rsid w:val="000C1A3A"/>
    <w:rsid w:val="000C1EBA"/>
    <w:rsid w:val="000C3ADE"/>
    <w:rsid w:val="000C4799"/>
    <w:rsid w:val="000C513A"/>
    <w:rsid w:val="000C6ADF"/>
    <w:rsid w:val="000C772B"/>
    <w:rsid w:val="000D06CF"/>
    <w:rsid w:val="000D0B88"/>
    <w:rsid w:val="000D1896"/>
    <w:rsid w:val="000D36F8"/>
    <w:rsid w:val="000D37DF"/>
    <w:rsid w:val="000D4B06"/>
    <w:rsid w:val="000D733C"/>
    <w:rsid w:val="000E1E06"/>
    <w:rsid w:val="000E1F2A"/>
    <w:rsid w:val="000E2315"/>
    <w:rsid w:val="000E2789"/>
    <w:rsid w:val="000E27B5"/>
    <w:rsid w:val="000E52B4"/>
    <w:rsid w:val="000F0DA6"/>
    <w:rsid w:val="000F1DB1"/>
    <w:rsid w:val="000F2936"/>
    <w:rsid w:val="000F2BC3"/>
    <w:rsid w:val="000F2C03"/>
    <w:rsid w:val="000F5D83"/>
    <w:rsid w:val="000F7103"/>
    <w:rsid w:val="001002B0"/>
    <w:rsid w:val="00102339"/>
    <w:rsid w:val="001028A6"/>
    <w:rsid w:val="00104890"/>
    <w:rsid w:val="001101BD"/>
    <w:rsid w:val="00114B33"/>
    <w:rsid w:val="001153E2"/>
    <w:rsid w:val="00116FF6"/>
    <w:rsid w:val="001223D3"/>
    <w:rsid w:val="001248D5"/>
    <w:rsid w:val="0012585A"/>
    <w:rsid w:val="00125C8A"/>
    <w:rsid w:val="0013017B"/>
    <w:rsid w:val="001330F3"/>
    <w:rsid w:val="00133FB5"/>
    <w:rsid w:val="00134FD0"/>
    <w:rsid w:val="00135820"/>
    <w:rsid w:val="00140636"/>
    <w:rsid w:val="00140C9F"/>
    <w:rsid w:val="00141053"/>
    <w:rsid w:val="00141CC0"/>
    <w:rsid w:val="001420D2"/>
    <w:rsid w:val="0014412E"/>
    <w:rsid w:val="00145042"/>
    <w:rsid w:val="0014679F"/>
    <w:rsid w:val="001516F7"/>
    <w:rsid w:val="00151CAF"/>
    <w:rsid w:val="00152820"/>
    <w:rsid w:val="0015301A"/>
    <w:rsid w:val="001552C9"/>
    <w:rsid w:val="0015637B"/>
    <w:rsid w:val="0015761A"/>
    <w:rsid w:val="001618D8"/>
    <w:rsid w:val="00165AAA"/>
    <w:rsid w:val="001702EB"/>
    <w:rsid w:val="00171D78"/>
    <w:rsid w:val="00172063"/>
    <w:rsid w:val="001728E3"/>
    <w:rsid w:val="00172FEB"/>
    <w:rsid w:val="00173BFB"/>
    <w:rsid w:val="001744A7"/>
    <w:rsid w:val="0017614C"/>
    <w:rsid w:val="001765B9"/>
    <w:rsid w:val="0017662F"/>
    <w:rsid w:val="0018307E"/>
    <w:rsid w:val="00183701"/>
    <w:rsid w:val="001847A5"/>
    <w:rsid w:val="0019184C"/>
    <w:rsid w:val="001940BE"/>
    <w:rsid w:val="00194C1A"/>
    <w:rsid w:val="001967D8"/>
    <w:rsid w:val="001A7ECA"/>
    <w:rsid w:val="001B017C"/>
    <w:rsid w:val="001B2BB1"/>
    <w:rsid w:val="001B4F05"/>
    <w:rsid w:val="001B506D"/>
    <w:rsid w:val="001B5F1C"/>
    <w:rsid w:val="001B75D8"/>
    <w:rsid w:val="001C06B3"/>
    <w:rsid w:val="001C1EAC"/>
    <w:rsid w:val="001C2F03"/>
    <w:rsid w:val="001C5428"/>
    <w:rsid w:val="001C6078"/>
    <w:rsid w:val="001C622C"/>
    <w:rsid w:val="001C7818"/>
    <w:rsid w:val="001D33D9"/>
    <w:rsid w:val="001D4C60"/>
    <w:rsid w:val="001D5341"/>
    <w:rsid w:val="001D5AB2"/>
    <w:rsid w:val="001E0170"/>
    <w:rsid w:val="001E19DD"/>
    <w:rsid w:val="001E3D8D"/>
    <w:rsid w:val="001E5D27"/>
    <w:rsid w:val="001E777B"/>
    <w:rsid w:val="001F115E"/>
    <w:rsid w:val="001F1350"/>
    <w:rsid w:val="001F52EB"/>
    <w:rsid w:val="001F60D9"/>
    <w:rsid w:val="001F67E7"/>
    <w:rsid w:val="001F6A32"/>
    <w:rsid w:val="001F6DC0"/>
    <w:rsid w:val="00205195"/>
    <w:rsid w:val="00205C7A"/>
    <w:rsid w:val="002060F1"/>
    <w:rsid w:val="0021025A"/>
    <w:rsid w:val="00210675"/>
    <w:rsid w:val="00211071"/>
    <w:rsid w:val="002122F9"/>
    <w:rsid w:val="00216183"/>
    <w:rsid w:val="00217AAD"/>
    <w:rsid w:val="002208A4"/>
    <w:rsid w:val="00220BF9"/>
    <w:rsid w:val="00223C22"/>
    <w:rsid w:val="00223D50"/>
    <w:rsid w:val="0022484B"/>
    <w:rsid w:val="0022507E"/>
    <w:rsid w:val="0023022E"/>
    <w:rsid w:val="00230348"/>
    <w:rsid w:val="00232D0E"/>
    <w:rsid w:val="002349D5"/>
    <w:rsid w:val="00234FF5"/>
    <w:rsid w:val="00237842"/>
    <w:rsid w:val="0024226E"/>
    <w:rsid w:val="00243B87"/>
    <w:rsid w:val="00244B7C"/>
    <w:rsid w:val="002457B7"/>
    <w:rsid w:val="00250741"/>
    <w:rsid w:val="00252910"/>
    <w:rsid w:val="00252DE4"/>
    <w:rsid w:val="00253653"/>
    <w:rsid w:val="00254ECC"/>
    <w:rsid w:val="00255867"/>
    <w:rsid w:val="00256BC7"/>
    <w:rsid w:val="00256BE7"/>
    <w:rsid w:val="002579EC"/>
    <w:rsid w:val="0026112F"/>
    <w:rsid w:val="00261AFA"/>
    <w:rsid w:val="0026342D"/>
    <w:rsid w:val="00263BA9"/>
    <w:rsid w:val="00265D54"/>
    <w:rsid w:val="00266144"/>
    <w:rsid w:val="002673A7"/>
    <w:rsid w:val="00267473"/>
    <w:rsid w:val="0027027C"/>
    <w:rsid w:val="002706EB"/>
    <w:rsid w:val="00275AA5"/>
    <w:rsid w:val="00276E0A"/>
    <w:rsid w:val="00277F2E"/>
    <w:rsid w:val="002811FF"/>
    <w:rsid w:val="002826FC"/>
    <w:rsid w:val="00282790"/>
    <w:rsid w:val="00286CC1"/>
    <w:rsid w:val="002918AA"/>
    <w:rsid w:val="002951A2"/>
    <w:rsid w:val="002A1442"/>
    <w:rsid w:val="002A5084"/>
    <w:rsid w:val="002A61BF"/>
    <w:rsid w:val="002A672E"/>
    <w:rsid w:val="002A68B7"/>
    <w:rsid w:val="002A76FD"/>
    <w:rsid w:val="002A7F12"/>
    <w:rsid w:val="002B23A0"/>
    <w:rsid w:val="002B2AFD"/>
    <w:rsid w:val="002B2D20"/>
    <w:rsid w:val="002B360E"/>
    <w:rsid w:val="002B402D"/>
    <w:rsid w:val="002B4C86"/>
    <w:rsid w:val="002B52F9"/>
    <w:rsid w:val="002B636C"/>
    <w:rsid w:val="002B7A9F"/>
    <w:rsid w:val="002C0675"/>
    <w:rsid w:val="002C14DB"/>
    <w:rsid w:val="002C30FF"/>
    <w:rsid w:val="002C4259"/>
    <w:rsid w:val="002C6609"/>
    <w:rsid w:val="002D11AE"/>
    <w:rsid w:val="002D2A6C"/>
    <w:rsid w:val="002D5C09"/>
    <w:rsid w:val="002D66EA"/>
    <w:rsid w:val="002E299F"/>
    <w:rsid w:val="002F1FC8"/>
    <w:rsid w:val="002F3AFF"/>
    <w:rsid w:val="002F4610"/>
    <w:rsid w:val="002F4720"/>
    <w:rsid w:val="002F5070"/>
    <w:rsid w:val="002F574D"/>
    <w:rsid w:val="002F588B"/>
    <w:rsid w:val="002F6308"/>
    <w:rsid w:val="002F697B"/>
    <w:rsid w:val="0030250A"/>
    <w:rsid w:val="0030280A"/>
    <w:rsid w:val="00304691"/>
    <w:rsid w:val="0030759D"/>
    <w:rsid w:val="00307E98"/>
    <w:rsid w:val="00310532"/>
    <w:rsid w:val="003125A0"/>
    <w:rsid w:val="003171E4"/>
    <w:rsid w:val="00317E57"/>
    <w:rsid w:val="00320E62"/>
    <w:rsid w:val="0032107C"/>
    <w:rsid w:val="00322262"/>
    <w:rsid w:val="00323737"/>
    <w:rsid w:val="00326279"/>
    <w:rsid w:val="00331BB4"/>
    <w:rsid w:val="0033321E"/>
    <w:rsid w:val="00334AE9"/>
    <w:rsid w:val="003359A2"/>
    <w:rsid w:val="00336924"/>
    <w:rsid w:val="0034067B"/>
    <w:rsid w:val="00341375"/>
    <w:rsid w:val="00341F73"/>
    <w:rsid w:val="00343974"/>
    <w:rsid w:val="0034428F"/>
    <w:rsid w:val="00344F9E"/>
    <w:rsid w:val="00346080"/>
    <w:rsid w:val="00346735"/>
    <w:rsid w:val="00346B18"/>
    <w:rsid w:val="003470F7"/>
    <w:rsid w:val="00347D6E"/>
    <w:rsid w:val="00347F06"/>
    <w:rsid w:val="0035011A"/>
    <w:rsid w:val="00350EFD"/>
    <w:rsid w:val="0035190B"/>
    <w:rsid w:val="00352B06"/>
    <w:rsid w:val="00353988"/>
    <w:rsid w:val="00353EA0"/>
    <w:rsid w:val="00354513"/>
    <w:rsid w:val="00354514"/>
    <w:rsid w:val="0035759F"/>
    <w:rsid w:val="00361010"/>
    <w:rsid w:val="003618F2"/>
    <w:rsid w:val="00363E55"/>
    <w:rsid w:val="00364DA9"/>
    <w:rsid w:val="00366A05"/>
    <w:rsid w:val="00367D61"/>
    <w:rsid w:val="00371057"/>
    <w:rsid w:val="003728A2"/>
    <w:rsid w:val="0037438D"/>
    <w:rsid w:val="003765B3"/>
    <w:rsid w:val="00376F82"/>
    <w:rsid w:val="0037742A"/>
    <w:rsid w:val="00380160"/>
    <w:rsid w:val="003819D9"/>
    <w:rsid w:val="0038600B"/>
    <w:rsid w:val="00390AAF"/>
    <w:rsid w:val="003918F2"/>
    <w:rsid w:val="00392B59"/>
    <w:rsid w:val="00393C16"/>
    <w:rsid w:val="003948B5"/>
    <w:rsid w:val="00394920"/>
    <w:rsid w:val="003A03E9"/>
    <w:rsid w:val="003A4D30"/>
    <w:rsid w:val="003A71D4"/>
    <w:rsid w:val="003A7CDF"/>
    <w:rsid w:val="003B076C"/>
    <w:rsid w:val="003B12D2"/>
    <w:rsid w:val="003B1307"/>
    <w:rsid w:val="003B15D1"/>
    <w:rsid w:val="003B177B"/>
    <w:rsid w:val="003B1E43"/>
    <w:rsid w:val="003B2750"/>
    <w:rsid w:val="003B3C1E"/>
    <w:rsid w:val="003B4925"/>
    <w:rsid w:val="003B5DA6"/>
    <w:rsid w:val="003B7B3D"/>
    <w:rsid w:val="003B7E85"/>
    <w:rsid w:val="003C093D"/>
    <w:rsid w:val="003C1429"/>
    <w:rsid w:val="003C4C39"/>
    <w:rsid w:val="003C61A2"/>
    <w:rsid w:val="003C650F"/>
    <w:rsid w:val="003C68CC"/>
    <w:rsid w:val="003D0B34"/>
    <w:rsid w:val="003D14E4"/>
    <w:rsid w:val="003D3790"/>
    <w:rsid w:val="003D3852"/>
    <w:rsid w:val="003D45B0"/>
    <w:rsid w:val="003D55BA"/>
    <w:rsid w:val="003D57EA"/>
    <w:rsid w:val="003D64FC"/>
    <w:rsid w:val="003D664C"/>
    <w:rsid w:val="003E265C"/>
    <w:rsid w:val="003E41B8"/>
    <w:rsid w:val="003E424C"/>
    <w:rsid w:val="003E56B3"/>
    <w:rsid w:val="003E6F4C"/>
    <w:rsid w:val="003E75B7"/>
    <w:rsid w:val="003E77B3"/>
    <w:rsid w:val="003F08C9"/>
    <w:rsid w:val="003F2CD6"/>
    <w:rsid w:val="003F30ED"/>
    <w:rsid w:val="003F4434"/>
    <w:rsid w:val="004009B4"/>
    <w:rsid w:val="00401B90"/>
    <w:rsid w:val="00403C32"/>
    <w:rsid w:val="00405AA4"/>
    <w:rsid w:val="00406ED0"/>
    <w:rsid w:val="004071E1"/>
    <w:rsid w:val="004105DE"/>
    <w:rsid w:val="0041090B"/>
    <w:rsid w:val="00411614"/>
    <w:rsid w:val="00411B0A"/>
    <w:rsid w:val="00416F69"/>
    <w:rsid w:val="00420B0B"/>
    <w:rsid w:val="00422057"/>
    <w:rsid w:val="00423E20"/>
    <w:rsid w:val="00424181"/>
    <w:rsid w:val="004243BE"/>
    <w:rsid w:val="0042607A"/>
    <w:rsid w:val="0042630C"/>
    <w:rsid w:val="004300FD"/>
    <w:rsid w:val="0043046B"/>
    <w:rsid w:val="0043324D"/>
    <w:rsid w:val="00436BE1"/>
    <w:rsid w:val="00437E97"/>
    <w:rsid w:val="004404C2"/>
    <w:rsid w:val="00440E9F"/>
    <w:rsid w:val="004412B0"/>
    <w:rsid w:val="00441618"/>
    <w:rsid w:val="00441A3D"/>
    <w:rsid w:val="00442609"/>
    <w:rsid w:val="00443B08"/>
    <w:rsid w:val="004449F3"/>
    <w:rsid w:val="004464BE"/>
    <w:rsid w:val="00447F10"/>
    <w:rsid w:val="004521B9"/>
    <w:rsid w:val="004531F2"/>
    <w:rsid w:val="004534E6"/>
    <w:rsid w:val="00454D73"/>
    <w:rsid w:val="00457EEF"/>
    <w:rsid w:val="00460091"/>
    <w:rsid w:val="00461B93"/>
    <w:rsid w:val="00462E14"/>
    <w:rsid w:val="004650B5"/>
    <w:rsid w:val="004652CD"/>
    <w:rsid w:val="00467526"/>
    <w:rsid w:val="004679C4"/>
    <w:rsid w:val="004751C0"/>
    <w:rsid w:val="0047520C"/>
    <w:rsid w:val="00475F08"/>
    <w:rsid w:val="00475F6F"/>
    <w:rsid w:val="0047613D"/>
    <w:rsid w:val="004769E7"/>
    <w:rsid w:val="00476CBF"/>
    <w:rsid w:val="00480FE1"/>
    <w:rsid w:val="00482C5B"/>
    <w:rsid w:val="00486263"/>
    <w:rsid w:val="00487203"/>
    <w:rsid w:val="00487902"/>
    <w:rsid w:val="0048798F"/>
    <w:rsid w:val="00490588"/>
    <w:rsid w:val="00492E5C"/>
    <w:rsid w:val="00494A44"/>
    <w:rsid w:val="00496E12"/>
    <w:rsid w:val="004A17E5"/>
    <w:rsid w:val="004A339E"/>
    <w:rsid w:val="004A5279"/>
    <w:rsid w:val="004A640C"/>
    <w:rsid w:val="004B0947"/>
    <w:rsid w:val="004B0D58"/>
    <w:rsid w:val="004B1503"/>
    <w:rsid w:val="004B7871"/>
    <w:rsid w:val="004C0D05"/>
    <w:rsid w:val="004C175B"/>
    <w:rsid w:val="004C1FBE"/>
    <w:rsid w:val="004C33F3"/>
    <w:rsid w:val="004C609C"/>
    <w:rsid w:val="004C72D9"/>
    <w:rsid w:val="004C73CB"/>
    <w:rsid w:val="004D1B76"/>
    <w:rsid w:val="004D24B9"/>
    <w:rsid w:val="004D447C"/>
    <w:rsid w:val="004D45D3"/>
    <w:rsid w:val="004D643B"/>
    <w:rsid w:val="004D6DAB"/>
    <w:rsid w:val="004E3388"/>
    <w:rsid w:val="004E6305"/>
    <w:rsid w:val="004E6907"/>
    <w:rsid w:val="004E6C8F"/>
    <w:rsid w:val="004E7630"/>
    <w:rsid w:val="004F0989"/>
    <w:rsid w:val="004F20B3"/>
    <w:rsid w:val="004F2B1D"/>
    <w:rsid w:val="004F4A19"/>
    <w:rsid w:val="004F571E"/>
    <w:rsid w:val="004F5A8B"/>
    <w:rsid w:val="004F5E2E"/>
    <w:rsid w:val="004F78B1"/>
    <w:rsid w:val="00500324"/>
    <w:rsid w:val="005005F1"/>
    <w:rsid w:val="005006FD"/>
    <w:rsid w:val="00505ABD"/>
    <w:rsid w:val="00512EA1"/>
    <w:rsid w:val="00514591"/>
    <w:rsid w:val="005148D9"/>
    <w:rsid w:val="0051544E"/>
    <w:rsid w:val="00516920"/>
    <w:rsid w:val="00516B69"/>
    <w:rsid w:val="0051796B"/>
    <w:rsid w:val="00522864"/>
    <w:rsid w:val="00524298"/>
    <w:rsid w:val="00524583"/>
    <w:rsid w:val="00524993"/>
    <w:rsid w:val="00527586"/>
    <w:rsid w:val="00536108"/>
    <w:rsid w:val="0054026F"/>
    <w:rsid w:val="00540393"/>
    <w:rsid w:val="00540578"/>
    <w:rsid w:val="00541281"/>
    <w:rsid w:val="00541D8F"/>
    <w:rsid w:val="0054390F"/>
    <w:rsid w:val="00545970"/>
    <w:rsid w:val="00545AED"/>
    <w:rsid w:val="00545FA2"/>
    <w:rsid w:val="0054619A"/>
    <w:rsid w:val="00546F2F"/>
    <w:rsid w:val="0055019C"/>
    <w:rsid w:val="00552027"/>
    <w:rsid w:val="0055360C"/>
    <w:rsid w:val="00557E6A"/>
    <w:rsid w:val="00560573"/>
    <w:rsid w:val="0056300A"/>
    <w:rsid w:val="0056535E"/>
    <w:rsid w:val="005666E2"/>
    <w:rsid w:val="005668D4"/>
    <w:rsid w:val="00573162"/>
    <w:rsid w:val="00575A8D"/>
    <w:rsid w:val="0057712F"/>
    <w:rsid w:val="005801F9"/>
    <w:rsid w:val="00580882"/>
    <w:rsid w:val="005817DC"/>
    <w:rsid w:val="0058265D"/>
    <w:rsid w:val="00582CCB"/>
    <w:rsid w:val="00583FB3"/>
    <w:rsid w:val="005936B1"/>
    <w:rsid w:val="00594D17"/>
    <w:rsid w:val="00594E76"/>
    <w:rsid w:val="0059687E"/>
    <w:rsid w:val="005A06BF"/>
    <w:rsid w:val="005A13A8"/>
    <w:rsid w:val="005A3221"/>
    <w:rsid w:val="005A514C"/>
    <w:rsid w:val="005A5B9B"/>
    <w:rsid w:val="005A5D93"/>
    <w:rsid w:val="005A75B0"/>
    <w:rsid w:val="005B00F4"/>
    <w:rsid w:val="005B0EED"/>
    <w:rsid w:val="005B19EF"/>
    <w:rsid w:val="005B5480"/>
    <w:rsid w:val="005B587A"/>
    <w:rsid w:val="005B7660"/>
    <w:rsid w:val="005C0605"/>
    <w:rsid w:val="005C06AC"/>
    <w:rsid w:val="005C17C1"/>
    <w:rsid w:val="005C27B7"/>
    <w:rsid w:val="005C738F"/>
    <w:rsid w:val="005C739A"/>
    <w:rsid w:val="005D094A"/>
    <w:rsid w:val="005D0DD4"/>
    <w:rsid w:val="005D182F"/>
    <w:rsid w:val="005D5658"/>
    <w:rsid w:val="005D7093"/>
    <w:rsid w:val="005E20D2"/>
    <w:rsid w:val="005E76FC"/>
    <w:rsid w:val="005E7C20"/>
    <w:rsid w:val="005F2A94"/>
    <w:rsid w:val="005F3298"/>
    <w:rsid w:val="005F4D8C"/>
    <w:rsid w:val="005F78A8"/>
    <w:rsid w:val="0060256D"/>
    <w:rsid w:val="00604CF0"/>
    <w:rsid w:val="006072AB"/>
    <w:rsid w:val="00610CB1"/>
    <w:rsid w:val="00611FBE"/>
    <w:rsid w:val="00615AD9"/>
    <w:rsid w:val="00616274"/>
    <w:rsid w:val="00616E97"/>
    <w:rsid w:val="00616FC9"/>
    <w:rsid w:val="006172CC"/>
    <w:rsid w:val="006200B7"/>
    <w:rsid w:val="0062054B"/>
    <w:rsid w:val="00622E6F"/>
    <w:rsid w:val="006307CE"/>
    <w:rsid w:val="006321ED"/>
    <w:rsid w:val="0063487F"/>
    <w:rsid w:val="00635A07"/>
    <w:rsid w:val="00635B02"/>
    <w:rsid w:val="006376A7"/>
    <w:rsid w:val="006408BC"/>
    <w:rsid w:val="00641D0D"/>
    <w:rsid w:val="00642624"/>
    <w:rsid w:val="00643112"/>
    <w:rsid w:val="006444CE"/>
    <w:rsid w:val="00644804"/>
    <w:rsid w:val="00650396"/>
    <w:rsid w:val="006520EB"/>
    <w:rsid w:val="00652F7A"/>
    <w:rsid w:val="00654690"/>
    <w:rsid w:val="006566C3"/>
    <w:rsid w:val="006627A6"/>
    <w:rsid w:val="00665315"/>
    <w:rsid w:val="0066581B"/>
    <w:rsid w:val="0066710F"/>
    <w:rsid w:val="0066763C"/>
    <w:rsid w:val="00667C1C"/>
    <w:rsid w:val="00667E7E"/>
    <w:rsid w:val="0067415A"/>
    <w:rsid w:val="00674968"/>
    <w:rsid w:val="006756C4"/>
    <w:rsid w:val="006756DC"/>
    <w:rsid w:val="00680CC4"/>
    <w:rsid w:val="00682397"/>
    <w:rsid w:val="0068341C"/>
    <w:rsid w:val="0068416A"/>
    <w:rsid w:val="00684F6C"/>
    <w:rsid w:val="0068516C"/>
    <w:rsid w:val="0068595F"/>
    <w:rsid w:val="00687291"/>
    <w:rsid w:val="00690598"/>
    <w:rsid w:val="006918A9"/>
    <w:rsid w:val="00692A33"/>
    <w:rsid w:val="00693941"/>
    <w:rsid w:val="006948A3"/>
    <w:rsid w:val="006950B7"/>
    <w:rsid w:val="006A1BF6"/>
    <w:rsid w:val="006A1E0A"/>
    <w:rsid w:val="006A4EB0"/>
    <w:rsid w:val="006A581D"/>
    <w:rsid w:val="006A62B4"/>
    <w:rsid w:val="006A6322"/>
    <w:rsid w:val="006A6F5F"/>
    <w:rsid w:val="006A7882"/>
    <w:rsid w:val="006B30CA"/>
    <w:rsid w:val="006B4CFB"/>
    <w:rsid w:val="006B4DEE"/>
    <w:rsid w:val="006B5D1E"/>
    <w:rsid w:val="006C029B"/>
    <w:rsid w:val="006C266B"/>
    <w:rsid w:val="006C29A3"/>
    <w:rsid w:val="006C3E61"/>
    <w:rsid w:val="006C3F1E"/>
    <w:rsid w:val="006C5584"/>
    <w:rsid w:val="006C5BC4"/>
    <w:rsid w:val="006C5BCE"/>
    <w:rsid w:val="006C66AF"/>
    <w:rsid w:val="006C6B2A"/>
    <w:rsid w:val="006D209D"/>
    <w:rsid w:val="006D3344"/>
    <w:rsid w:val="006E0616"/>
    <w:rsid w:val="006E0E44"/>
    <w:rsid w:val="006E1966"/>
    <w:rsid w:val="006E1A6B"/>
    <w:rsid w:val="006E238A"/>
    <w:rsid w:val="006E28BC"/>
    <w:rsid w:val="006E3455"/>
    <w:rsid w:val="006E3E51"/>
    <w:rsid w:val="006E5010"/>
    <w:rsid w:val="006E50AD"/>
    <w:rsid w:val="006E56EA"/>
    <w:rsid w:val="006E6C0B"/>
    <w:rsid w:val="006F2F54"/>
    <w:rsid w:val="006F3356"/>
    <w:rsid w:val="006F3EFC"/>
    <w:rsid w:val="006F4783"/>
    <w:rsid w:val="006F488A"/>
    <w:rsid w:val="006F4F10"/>
    <w:rsid w:val="006F5F22"/>
    <w:rsid w:val="006F66FF"/>
    <w:rsid w:val="00700C72"/>
    <w:rsid w:val="007015BF"/>
    <w:rsid w:val="0070175E"/>
    <w:rsid w:val="00711AC1"/>
    <w:rsid w:val="00712538"/>
    <w:rsid w:val="00714272"/>
    <w:rsid w:val="0071530F"/>
    <w:rsid w:val="00715691"/>
    <w:rsid w:val="00716A8E"/>
    <w:rsid w:val="007227B7"/>
    <w:rsid w:val="007232B0"/>
    <w:rsid w:val="007263A1"/>
    <w:rsid w:val="007276D7"/>
    <w:rsid w:val="0073447D"/>
    <w:rsid w:val="00734E27"/>
    <w:rsid w:val="00742CE5"/>
    <w:rsid w:val="00744977"/>
    <w:rsid w:val="007452A8"/>
    <w:rsid w:val="00746665"/>
    <w:rsid w:val="00746957"/>
    <w:rsid w:val="00747212"/>
    <w:rsid w:val="00747E32"/>
    <w:rsid w:val="00751612"/>
    <w:rsid w:val="00751662"/>
    <w:rsid w:val="00752E67"/>
    <w:rsid w:val="00754B93"/>
    <w:rsid w:val="007559F9"/>
    <w:rsid w:val="00756E08"/>
    <w:rsid w:val="0076015F"/>
    <w:rsid w:val="007603C6"/>
    <w:rsid w:val="00761339"/>
    <w:rsid w:val="007631FA"/>
    <w:rsid w:val="00765818"/>
    <w:rsid w:val="00766A8F"/>
    <w:rsid w:val="00772337"/>
    <w:rsid w:val="00772AA1"/>
    <w:rsid w:val="00774B8F"/>
    <w:rsid w:val="007752F2"/>
    <w:rsid w:val="0077625D"/>
    <w:rsid w:val="007765DF"/>
    <w:rsid w:val="00777773"/>
    <w:rsid w:val="0078216C"/>
    <w:rsid w:val="007826FD"/>
    <w:rsid w:val="007852CD"/>
    <w:rsid w:val="00787D90"/>
    <w:rsid w:val="00790912"/>
    <w:rsid w:val="007915E7"/>
    <w:rsid w:val="00793802"/>
    <w:rsid w:val="00793A67"/>
    <w:rsid w:val="007953A4"/>
    <w:rsid w:val="007959C6"/>
    <w:rsid w:val="007A2C7D"/>
    <w:rsid w:val="007A3C33"/>
    <w:rsid w:val="007A5484"/>
    <w:rsid w:val="007A7854"/>
    <w:rsid w:val="007B0443"/>
    <w:rsid w:val="007B2C48"/>
    <w:rsid w:val="007B5BAF"/>
    <w:rsid w:val="007B5F9B"/>
    <w:rsid w:val="007C3ABB"/>
    <w:rsid w:val="007C3D50"/>
    <w:rsid w:val="007C5796"/>
    <w:rsid w:val="007C6FC1"/>
    <w:rsid w:val="007D0AE9"/>
    <w:rsid w:val="007D2B20"/>
    <w:rsid w:val="007D3D6A"/>
    <w:rsid w:val="007D5969"/>
    <w:rsid w:val="007D782F"/>
    <w:rsid w:val="007E067C"/>
    <w:rsid w:val="007E0714"/>
    <w:rsid w:val="007E2874"/>
    <w:rsid w:val="007E4830"/>
    <w:rsid w:val="007E7B3C"/>
    <w:rsid w:val="008033A4"/>
    <w:rsid w:val="00806CDA"/>
    <w:rsid w:val="008075FE"/>
    <w:rsid w:val="00807C48"/>
    <w:rsid w:val="008102AF"/>
    <w:rsid w:val="008103D6"/>
    <w:rsid w:val="0081160C"/>
    <w:rsid w:val="00812592"/>
    <w:rsid w:val="008148CC"/>
    <w:rsid w:val="00814A03"/>
    <w:rsid w:val="00814AD8"/>
    <w:rsid w:val="00816F26"/>
    <w:rsid w:val="00820D15"/>
    <w:rsid w:val="00825973"/>
    <w:rsid w:val="008262BC"/>
    <w:rsid w:val="00827765"/>
    <w:rsid w:val="00827C97"/>
    <w:rsid w:val="0083453B"/>
    <w:rsid w:val="00834A03"/>
    <w:rsid w:val="008355F8"/>
    <w:rsid w:val="00836CD7"/>
    <w:rsid w:val="008376CE"/>
    <w:rsid w:val="00837E29"/>
    <w:rsid w:val="0084009B"/>
    <w:rsid w:val="00841694"/>
    <w:rsid w:val="008426A3"/>
    <w:rsid w:val="0084392F"/>
    <w:rsid w:val="00843C9E"/>
    <w:rsid w:val="00844FEB"/>
    <w:rsid w:val="00846688"/>
    <w:rsid w:val="0084686B"/>
    <w:rsid w:val="008503C5"/>
    <w:rsid w:val="00852AFB"/>
    <w:rsid w:val="00852CEF"/>
    <w:rsid w:val="0085378E"/>
    <w:rsid w:val="0085532B"/>
    <w:rsid w:val="0085613A"/>
    <w:rsid w:val="0085644A"/>
    <w:rsid w:val="00856D7F"/>
    <w:rsid w:val="00860BD7"/>
    <w:rsid w:val="00862A6D"/>
    <w:rsid w:val="00862B11"/>
    <w:rsid w:val="00863595"/>
    <w:rsid w:val="0086631F"/>
    <w:rsid w:val="008667CB"/>
    <w:rsid w:val="00872B95"/>
    <w:rsid w:val="00874267"/>
    <w:rsid w:val="008750AD"/>
    <w:rsid w:val="008767B3"/>
    <w:rsid w:val="00877C8C"/>
    <w:rsid w:val="00882F4E"/>
    <w:rsid w:val="00883336"/>
    <w:rsid w:val="008846B1"/>
    <w:rsid w:val="008851D0"/>
    <w:rsid w:val="00886B9C"/>
    <w:rsid w:val="00887C99"/>
    <w:rsid w:val="0089353A"/>
    <w:rsid w:val="00895593"/>
    <w:rsid w:val="00895A99"/>
    <w:rsid w:val="00895D36"/>
    <w:rsid w:val="008A2698"/>
    <w:rsid w:val="008A5DB1"/>
    <w:rsid w:val="008A692C"/>
    <w:rsid w:val="008A7E07"/>
    <w:rsid w:val="008B04E5"/>
    <w:rsid w:val="008B04F3"/>
    <w:rsid w:val="008B0D42"/>
    <w:rsid w:val="008B321F"/>
    <w:rsid w:val="008B39F4"/>
    <w:rsid w:val="008B5CA3"/>
    <w:rsid w:val="008B7A36"/>
    <w:rsid w:val="008C3F26"/>
    <w:rsid w:val="008C550C"/>
    <w:rsid w:val="008C6017"/>
    <w:rsid w:val="008C68B4"/>
    <w:rsid w:val="008C7422"/>
    <w:rsid w:val="008D1CF5"/>
    <w:rsid w:val="008D603F"/>
    <w:rsid w:val="008E0EE3"/>
    <w:rsid w:val="008E1B22"/>
    <w:rsid w:val="008E2DB7"/>
    <w:rsid w:val="008E46A2"/>
    <w:rsid w:val="008E59E4"/>
    <w:rsid w:val="008E6F9E"/>
    <w:rsid w:val="008F4093"/>
    <w:rsid w:val="008F476C"/>
    <w:rsid w:val="008F64C5"/>
    <w:rsid w:val="008F66E9"/>
    <w:rsid w:val="008F7028"/>
    <w:rsid w:val="008F7762"/>
    <w:rsid w:val="00902BE6"/>
    <w:rsid w:val="009033C7"/>
    <w:rsid w:val="00904033"/>
    <w:rsid w:val="00904110"/>
    <w:rsid w:val="00915552"/>
    <w:rsid w:val="009174A5"/>
    <w:rsid w:val="00917511"/>
    <w:rsid w:val="00920A78"/>
    <w:rsid w:val="00920C01"/>
    <w:rsid w:val="00920C16"/>
    <w:rsid w:val="00920CFB"/>
    <w:rsid w:val="00921F1B"/>
    <w:rsid w:val="009234B9"/>
    <w:rsid w:val="00924AFF"/>
    <w:rsid w:val="009251EC"/>
    <w:rsid w:val="00926370"/>
    <w:rsid w:val="00926683"/>
    <w:rsid w:val="00935DA6"/>
    <w:rsid w:val="00936614"/>
    <w:rsid w:val="00936995"/>
    <w:rsid w:val="0094200C"/>
    <w:rsid w:val="00943D87"/>
    <w:rsid w:val="00947410"/>
    <w:rsid w:val="00947F79"/>
    <w:rsid w:val="00950418"/>
    <w:rsid w:val="00954F68"/>
    <w:rsid w:val="00956654"/>
    <w:rsid w:val="00956BE6"/>
    <w:rsid w:val="00961447"/>
    <w:rsid w:val="009617E4"/>
    <w:rsid w:val="00961C20"/>
    <w:rsid w:val="00972049"/>
    <w:rsid w:val="009736A6"/>
    <w:rsid w:val="00973B9F"/>
    <w:rsid w:val="00973D76"/>
    <w:rsid w:val="009758FB"/>
    <w:rsid w:val="00976CCB"/>
    <w:rsid w:val="009776B5"/>
    <w:rsid w:val="0098031B"/>
    <w:rsid w:val="009852C5"/>
    <w:rsid w:val="00985919"/>
    <w:rsid w:val="00986467"/>
    <w:rsid w:val="00991020"/>
    <w:rsid w:val="00991B11"/>
    <w:rsid w:val="0099217F"/>
    <w:rsid w:val="009933E1"/>
    <w:rsid w:val="009A48F0"/>
    <w:rsid w:val="009A4A40"/>
    <w:rsid w:val="009A5C69"/>
    <w:rsid w:val="009A68BE"/>
    <w:rsid w:val="009B191A"/>
    <w:rsid w:val="009B3BFD"/>
    <w:rsid w:val="009B5685"/>
    <w:rsid w:val="009B7379"/>
    <w:rsid w:val="009C37CA"/>
    <w:rsid w:val="009C7483"/>
    <w:rsid w:val="009C7A6F"/>
    <w:rsid w:val="009D1265"/>
    <w:rsid w:val="009D4B87"/>
    <w:rsid w:val="009D5CEB"/>
    <w:rsid w:val="009D5EF5"/>
    <w:rsid w:val="009D5F84"/>
    <w:rsid w:val="009D73E1"/>
    <w:rsid w:val="009F2695"/>
    <w:rsid w:val="009F53F0"/>
    <w:rsid w:val="009F66B2"/>
    <w:rsid w:val="009F7435"/>
    <w:rsid w:val="009F786C"/>
    <w:rsid w:val="00A010DC"/>
    <w:rsid w:val="00A02C90"/>
    <w:rsid w:val="00A02E62"/>
    <w:rsid w:val="00A05659"/>
    <w:rsid w:val="00A05CDA"/>
    <w:rsid w:val="00A067BF"/>
    <w:rsid w:val="00A07EA7"/>
    <w:rsid w:val="00A15055"/>
    <w:rsid w:val="00A22BC3"/>
    <w:rsid w:val="00A231EB"/>
    <w:rsid w:val="00A25B3E"/>
    <w:rsid w:val="00A3101A"/>
    <w:rsid w:val="00A315AE"/>
    <w:rsid w:val="00A3214A"/>
    <w:rsid w:val="00A33E30"/>
    <w:rsid w:val="00A35813"/>
    <w:rsid w:val="00A35E75"/>
    <w:rsid w:val="00A37D89"/>
    <w:rsid w:val="00A403E8"/>
    <w:rsid w:val="00A41443"/>
    <w:rsid w:val="00A41C76"/>
    <w:rsid w:val="00A43116"/>
    <w:rsid w:val="00A44962"/>
    <w:rsid w:val="00A44FEF"/>
    <w:rsid w:val="00A458A1"/>
    <w:rsid w:val="00A45F27"/>
    <w:rsid w:val="00A4616C"/>
    <w:rsid w:val="00A479E1"/>
    <w:rsid w:val="00A500D1"/>
    <w:rsid w:val="00A51A84"/>
    <w:rsid w:val="00A51BAF"/>
    <w:rsid w:val="00A52023"/>
    <w:rsid w:val="00A554C6"/>
    <w:rsid w:val="00A57542"/>
    <w:rsid w:val="00A60E92"/>
    <w:rsid w:val="00A61924"/>
    <w:rsid w:val="00A62CE4"/>
    <w:rsid w:val="00A673BF"/>
    <w:rsid w:val="00A738EC"/>
    <w:rsid w:val="00A73A28"/>
    <w:rsid w:val="00A7491A"/>
    <w:rsid w:val="00A758E2"/>
    <w:rsid w:val="00A80B44"/>
    <w:rsid w:val="00A828F2"/>
    <w:rsid w:val="00A82DD7"/>
    <w:rsid w:val="00A860A2"/>
    <w:rsid w:val="00A871B3"/>
    <w:rsid w:val="00A90710"/>
    <w:rsid w:val="00A917B2"/>
    <w:rsid w:val="00A93FD6"/>
    <w:rsid w:val="00A94AB9"/>
    <w:rsid w:val="00A9521C"/>
    <w:rsid w:val="00AA0061"/>
    <w:rsid w:val="00AA1127"/>
    <w:rsid w:val="00AA14A8"/>
    <w:rsid w:val="00AA20E0"/>
    <w:rsid w:val="00AA334F"/>
    <w:rsid w:val="00AA37D9"/>
    <w:rsid w:val="00AA5AD7"/>
    <w:rsid w:val="00AA643E"/>
    <w:rsid w:val="00AA7CAA"/>
    <w:rsid w:val="00AB2107"/>
    <w:rsid w:val="00AB2F66"/>
    <w:rsid w:val="00AB463E"/>
    <w:rsid w:val="00AB482D"/>
    <w:rsid w:val="00AB4F2D"/>
    <w:rsid w:val="00AB69D2"/>
    <w:rsid w:val="00AB6ACB"/>
    <w:rsid w:val="00AB773E"/>
    <w:rsid w:val="00AC36A1"/>
    <w:rsid w:val="00AD03A6"/>
    <w:rsid w:val="00AD2E1F"/>
    <w:rsid w:val="00AD68F3"/>
    <w:rsid w:val="00AE072C"/>
    <w:rsid w:val="00AE2095"/>
    <w:rsid w:val="00AE2832"/>
    <w:rsid w:val="00AE3113"/>
    <w:rsid w:val="00AE38C0"/>
    <w:rsid w:val="00AE542C"/>
    <w:rsid w:val="00AE6112"/>
    <w:rsid w:val="00AE67D4"/>
    <w:rsid w:val="00AE791A"/>
    <w:rsid w:val="00AF019D"/>
    <w:rsid w:val="00AF16E5"/>
    <w:rsid w:val="00AF2B23"/>
    <w:rsid w:val="00AF7657"/>
    <w:rsid w:val="00AF7C19"/>
    <w:rsid w:val="00B041C0"/>
    <w:rsid w:val="00B04C60"/>
    <w:rsid w:val="00B056EF"/>
    <w:rsid w:val="00B0574C"/>
    <w:rsid w:val="00B06C4D"/>
    <w:rsid w:val="00B07C23"/>
    <w:rsid w:val="00B10DCD"/>
    <w:rsid w:val="00B14275"/>
    <w:rsid w:val="00B14C20"/>
    <w:rsid w:val="00B14FCB"/>
    <w:rsid w:val="00B15F97"/>
    <w:rsid w:val="00B1675C"/>
    <w:rsid w:val="00B22997"/>
    <w:rsid w:val="00B23EB1"/>
    <w:rsid w:val="00B2417A"/>
    <w:rsid w:val="00B24C35"/>
    <w:rsid w:val="00B26A91"/>
    <w:rsid w:val="00B26F7E"/>
    <w:rsid w:val="00B33BC9"/>
    <w:rsid w:val="00B34D82"/>
    <w:rsid w:val="00B357FC"/>
    <w:rsid w:val="00B36875"/>
    <w:rsid w:val="00B368D8"/>
    <w:rsid w:val="00B414D9"/>
    <w:rsid w:val="00B41D22"/>
    <w:rsid w:val="00B41D62"/>
    <w:rsid w:val="00B4220A"/>
    <w:rsid w:val="00B4231F"/>
    <w:rsid w:val="00B47FFE"/>
    <w:rsid w:val="00B507F9"/>
    <w:rsid w:val="00B50CE5"/>
    <w:rsid w:val="00B53081"/>
    <w:rsid w:val="00B60AB2"/>
    <w:rsid w:val="00B60B76"/>
    <w:rsid w:val="00B62184"/>
    <w:rsid w:val="00B64F73"/>
    <w:rsid w:val="00B6622B"/>
    <w:rsid w:val="00B70863"/>
    <w:rsid w:val="00B70D6D"/>
    <w:rsid w:val="00B71A19"/>
    <w:rsid w:val="00B75886"/>
    <w:rsid w:val="00B7655A"/>
    <w:rsid w:val="00B8215E"/>
    <w:rsid w:val="00B8300C"/>
    <w:rsid w:val="00B850AB"/>
    <w:rsid w:val="00B8635D"/>
    <w:rsid w:val="00B8704B"/>
    <w:rsid w:val="00B92826"/>
    <w:rsid w:val="00B93642"/>
    <w:rsid w:val="00B963BA"/>
    <w:rsid w:val="00B96825"/>
    <w:rsid w:val="00B974A0"/>
    <w:rsid w:val="00BA1271"/>
    <w:rsid w:val="00BA3A22"/>
    <w:rsid w:val="00BA4E52"/>
    <w:rsid w:val="00BA5029"/>
    <w:rsid w:val="00BB0B11"/>
    <w:rsid w:val="00BB1529"/>
    <w:rsid w:val="00BB3426"/>
    <w:rsid w:val="00BB3561"/>
    <w:rsid w:val="00BB5A54"/>
    <w:rsid w:val="00BB7102"/>
    <w:rsid w:val="00BC26D1"/>
    <w:rsid w:val="00BC3583"/>
    <w:rsid w:val="00BC5076"/>
    <w:rsid w:val="00BC50FF"/>
    <w:rsid w:val="00BC7E17"/>
    <w:rsid w:val="00BD0A36"/>
    <w:rsid w:val="00BD2345"/>
    <w:rsid w:val="00BD5287"/>
    <w:rsid w:val="00BD535D"/>
    <w:rsid w:val="00BD6F19"/>
    <w:rsid w:val="00BE3A22"/>
    <w:rsid w:val="00BE7931"/>
    <w:rsid w:val="00BE7C8A"/>
    <w:rsid w:val="00BF4D0C"/>
    <w:rsid w:val="00BF52E3"/>
    <w:rsid w:val="00BF65BB"/>
    <w:rsid w:val="00C00BDD"/>
    <w:rsid w:val="00C01281"/>
    <w:rsid w:val="00C05D1D"/>
    <w:rsid w:val="00C0680B"/>
    <w:rsid w:val="00C10909"/>
    <w:rsid w:val="00C13EC4"/>
    <w:rsid w:val="00C15718"/>
    <w:rsid w:val="00C22477"/>
    <w:rsid w:val="00C269C8"/>
    <w:rsid w:val="00C26B83"/>
    <w:rsid w:val="00C2780D"/>
    <w:rsid w:val="00C278E3"/>
    <w:rsid w:val="00C301B8"/>
    <w:rsid w:val="00C302BF"/>
    <w:rsid w:val="00C33559"/>
    <w:rsid w:val="00C34225"/>
    <w:rsid w:val="00C34F82"/>
    <w:rsid w:val="00C366B7"/>
    <w:rsid w:val="00C40E58"/>
    <w:rsid w:val="00C41725"/>
    <w:rsid w:val="00C4180B"/>
    <w:rsid w:val="00C43538"/>
    <w:rsid w:val="00C46230"/>
    <w:rsid w:val="00C474A2"/>
    <w:rsid w:val="00C52967"/>
    <w:rsid w:val="00C52E90"/>
    <w:rsid w:val="00C56403"/>
    <w:rsid w:val="00C57093"/>
    <w:rsid w:val="00C60098"/>
    <w:rsid w:val="00C64E09"/>
    <w:rsid w:val="00C6767C"/>
    <w:rsid w:val="00C67CB1"/>
    <w:rsid w:val="00C7588D"/>
    <w:rsid w:val="00C75D90"/>
    <w:rsid w:val="00C77D36"/>
    <w:rsid w:val="00C80605"/>
    <w:rsid w:val="00C80883"/>
    <w:rsid w:val="00C812BA"/>
    <w:rsid w:val="00C845AF"/>
    <w:rsid w:val="00C8491F"/>
    <w:rsid w:val="00C85BBB"/>
    <w:rsid w:val="00C918E1"/>
    <w:rsid w:val="00C93D8A"/>
    <w:rsid w:val="00C94018"/>
    <w:rsid w:val="00C960B1"/>
    <w:rsid w:val="00CA05D5"/>
    <w:rsid w:val="00CA16B5"/>
    <w:rsid w:val="00CA1BBA"/>
    <w:rsid w:val="00CA28ED"/>
    <w:rsid w:val="00CB0FD1"/>
    <w:rsid w:val="00CB1340"/>
    <w:rsid w:val="00CB1BE8"/>
    <w:rsid w:val="00CB299F"/>
    <w:rsid w:val="00CB38D2"/>
    <w:rsid w:val="00CB59F5"/>
    <w:rsid w:val="00CB6490"/>
    <w:rsid w:val="00CB75D8"/>
    <w:rsid w:val="00CC01F2"/>
    <w:rsid w:val="00CC17F2"/>
    <w:rsid w:val="00CC41D9"/>
    <w:rsid w:val="00CC5286"/>
    <w:rsid w:val="00CC52F8"/>
    <w:rsid w:val="00CC5F39"/>
    <w:rsid w:val="00CC67A8"/>
    <w:rsid w:val="00CC7A8A"/>
    <w:rsid w:val="00CD0E8D"/>
    <w:rsid w:val="00CD2B15"/>
    <w:rsid w:val="00CD475E"/>
    <w:rsid w:val="00CD5D81"/>
    <w:rsid w:val="00CD5F5F"/>
    <w:rsid w:val="00CE1715"/>
    <w:rsid w:val="00CE2609"/>
    <w:rsid w:val="00CE3987"/>
    <w:rsid w:val="00CF0BA6"/>
    <w:rsid w:val="00CF1BB6"/>
    <w:rsid w:val="00CF243F"/>
    <w:rsid w:val="00CF4209"/>
    <w:rsid w:val="00CF42CB"/>
    <w:rsid w:val="00CF4530"/>
    <w:rsid w:val="00CF4B9B"/>
    <w:rsid w:val="00CF6835"/>
    <w:rsid w:val="00D00A45"/>
    <w:rsid w:val="00D0198A"/>
    <w:rsid w:val="00D02FF6"/>
    <w:rsid w:val="00D0313D"/>
    <w:rsid w:val="00D0618F"/>
    <w:rsid w:val="00D06B3B"/>
    <w:rsid w:val="00D072EB"/>
    <w:rsid w:val="00D076BB"/>
    <w:rsid w:val="00D07FBD"/>
    <w:rsid w:val="00D116D9"/>
    <w:rsid w:val="00D123C3"/>
    <w:rsid w:val="00D155A9"/>
    <w:rsid w:val="00D15AF6"/>
    <w:rsid w:val="00D16228"/>
    <w:rsid w:val="00D22FEA"/>
    <w:rsid w:val="00D23793"/>
    <w:rsid w:val="00D24F8A"/>
    <w:rsid w:val="00D2530E"/>
    <w:rsid w:val="00D25624"/>
    <w:rsid w:val="00D27566"/>
    <w:rsid w:val="00D27CCD"/>
    <w:rsid w:val="00D33FF3"/>
    <w:rsid w:val="00D34EAE"/>
    <w:rsid w:val="00D3657D"/>
    <w:rsid w:val="00D37855"/>
    <w:rsid w:val="00D4124A"/>
    <w:rsid w:val="00D4157E"/>
    <w:rsid w:val="00D438DF"/>
    <w:rsid w:val="00D43BEF"/>
    <w:rsid w:val="00D45021"/>
    <w:rsid w:val="00D45AD5"/>
    <w:rsid w:val="00D461AA"/>
    <w:rsid w:val="00D468C8"/>
    <w:rsid w:val="00D503AB"/>
    <w:rsid w:val="00D52C45"/>
    <w:rsid w:val="00D53441"/>
    <w:rsid w:val="00D55254"/>
    <w:rsid w:val="00D55A4C"/>
    <w:rsid w:val="00D569E6"/>
    <w:rsid w:val="00D57242"/>
    <w:rsid w:val="00D57FDA"/>
    <w:rsid w:val="00D60A9F"/>
    <w:rsid w:val="00D60FF5"/>
    <w:rsid w:val="00D63148"/>
    <w:rsid w:val="00D652C6"/>
    <w:rsid w:val="00D6600D"/>
    <w:rsid w:val="00D664E3"/>
    <w:rsid w:val="00D701D8"/>
    <w:rsid w:val="00D743A2"/>
    <w:rsid w:val="00D7506B"/>
    <w:rsid w:val="00D75899"/>
    <w:rsid w:val="00D778C8"/>
    <w:rsid w:val="00D836B5"/>
    <w:rsid w:val="00D84A83"/>
    <w:rsid w:val="00D85E0E"/>
    <w:rsid w:val="00D86486"/>
    <w:rsid w:val="00D876D5"/>
    <w:rsid w:val="00D87C96"/>
    <w:rsid w:val="00D944AE"/>
    <w:rsid w:val="00D94BE3"/>
    <w:rsid w:val="00D94CC2"/>
    <w:rsid w:val="00D94F48"/>
    <w:rsid w:val="00D95B0C"/>
    <w:rsid w:val="00D96065"/>
    <w:rsid w:val="00D96FA6"/>
    <w:rsid w:val="00D97976"/>
    <w:rsid w:val="00DA16C5"/>
    <w:rsid w:val="00DA1D14"/>
    <w:rsid w:val="00DA1D99"/>
    <w:rsid w:val="00DA3537"/>
    <w:rsid w:val="00DA46DD"/>
    <w:rsid w:val="00DA70C7"/>
    <w:rsid w:val="00DB1146"/>
    <w:rsid w:val="00DB1896"/>
    <w:rsid w:val="00DB1F2B"/>
    <w:rsid w:val="00DB48CC"/>
    <w:rsid w:val="00DB59E6"/>
    <w:rsid w:val="00DB695C"/>
    <w:rsid w:val="00DB7F24"/>
    <w:rsid w:val="00DC69B7"/>
    <w:rsid w:val="00DD15C6"/>
    <w:rsid w:val="00DD26B4"/>
    <w:rsid w:val="00DD3151"/>
    <w:rsid w:val="00DD3221"/>
    <w:rsid w:val="00DD4AA2"/>
    <w:rsid w:val="00DD523D"/>
    <w:rsid w:val="00DD5FDB"/>
    <w:rsid w:val="00DD6942"/>
    <w:rsid w:val="00DD69C8"/>
    <w:rsid w:val="00DE025A"/>
    <w:rsid w:val="00DE1B5E"/>
    <w:rsid w:val="00DE302E"/>
    <w:rsid w:val="00DE4010"/>
    <w:rsid w:val="00DE7D45"/>
    <w:rsid w:val="00DF1B5A"/>
    <w:rsid w:val="00DF215B"/>
    <w:rsid w:val="00DF3CCA"/>
    <w:rsid w:val="00DF404C"/>
    <w:rsid w:val="00DF56F8"/>
    <w:rsid w:val="00DF5CEB"/>
    <w:rsid w:val="00DF5F18"/>
    <w:rsid w:val="00DF659B"/>
    <w:rsid w:val="00DF7EA1"/>
    <w:rsid w:val="00E01D65"/>
    <w:rsid w:val="00E02AB3"/>
    <w:rsid w:val="00E02E67"/>
    <w:rsid w:val="00E04BAA"/>
    <w:rsid w:val="00E1257C"/>
    <w:rsid w:val="00E13099"/>
    <w:rsid w:val="00E1459C"/>
    <w:rsid w:val="00E17791"/>
    <w:rsid w:val="00E21170"/>
    <w:rsid w:val="00E2239B"/>
    <w:rsid w:val="00E267E6"/>
    <w:rsid w:val="00E3055C"/>
    <w:rsid w:val="00E356D0"/>
    <w:rsid w:val="00E36D58"/>
    <w:rsid w:val="00E4015C"/>
    <w:rsid w:val="00E413CD"/>
    <w:rsid w:val="00E41433"/>
    <w:rsid w:val="00E41601"/>
    <w:rsid w:val="00E41A1C"/>
    <w:rsid w:val="00E43460"/>
    <w:rsid w:val="00E44F97"/>
    <w:rsid w:val="00E4776E"/>
    <w:rsid w:val="00E47F29"/>
    <w:rsid w:val="00E52382"/>
    <w:rsid w:val="00E52D49"/>
    <w:rsid w:val="00E52FE9"/>
    <w:rsid w:val="00E53540"/>
    <w:rsid w:val="00E567F9"/>
    <w:rsid w:val="00E5709B"/>
    <w:rsid w:val="00E57E42"/>
    <w:rsid w:val="00E608CA"/>
    <w:rsid w:val="00E60F27"/>
    <w:rsid w:val="00E6122E"/>
    <w:rsid w:val="00E61E43"/>
    <w:rsid w:val="00E6313F"/>
    <w:rsid w:val="00E63B10"/>
    <w:rsid w:val="00E64C79"/>
    <w:rsid w:val="00E6631F"/>
    <w:rsid w:val="00E72389"/>
    <w:rsid w:val="00E736C0"/>
    <w:rsid w:val="00E76656"/>
    <w:rsid w:val="00E774ED"/>
    <w:rsid w:val="00E77B1C"/>
    <w:rsid w:val="00E81D20"/>
    <w:rsid w:val="00E825B1"/>
    <w:rsid w:val="00E831C1"/>
    <w:rsid w:val="00E85337"/>
    <w:rsid w:val="00E9050B"/>
    <w:rsid w:val="00E91847"/>
    <w:rsid w:val="00E954C1"/>
    <w:rsid w:val="00E966DD"/>
    <w:rsid w:val="00EA0021"/>
    <w:rsid w:val="00EA01EB"/>
    <w:rsid w:val="00EA08AE"/>
    <w:rsid w:val="00EA0A21"/>
    <w:rsid w:val="00EA0FD5"/>
    <w:rsid w:val="00EA12B6"/>
    <w:rsid w:val="00EA2472"/>
    <w:rsid w:val="00EB02E8"/>
    <w:rsid w:val="00EB43F0"/>
    <w:rsid w:val="00EB4685"/>
    <w:rsid w:val="00EB4A3B"/>
    <w:rsid w:val="00EB7E7E"/>
    <w:rsid w:val="00EC0A23"/>
    <w:rsid w:val="00EC1706"/>
    <w:rsid w:val="00EC1867"/>
    <w:rsid w:val="00EC1CBD"/>
    <w:rsid w:val="00EC39D6"/>
    <w:rsid w:val="00EC3B37"/>
    <w:rsid w:val="00EC3E02"/>
    <w:rsid w:val="00EC4699"/>
    <w:rsid w:val="00EC6071"/>
    <w:rsid w:val="00EC6B69"/>
    <w:rsid w:val="00ED51DB"/>
    <w:rsid w:val="00ED6216"/>
    <w:rsid w:val="00EE0E2C"/>
    <w:rsid w:val="00EE2399"/>
    <w:rsid w:val="00EE3EB6"/>
    <w:rsid w:val="00EE3F7A"/>
    <w:rsid w:val="00EE4352"/>
    <w:rsid w:val="00EF0FFA"/>
    <w:rsid w:val="00EF1CBF"/>
    <w:rsid w:val="00EF3693"/>
    <w:rsid w:val="00F002E3"/>
    <w:rsid w:val="00F017A7"/>
    <w:rsid w:val="00F020B2"/>
    <w:rsid w:val="00F024AB"/>
    <w:rsid w:val="00F03C09"/>
    <w:rsid w:val="00F074EE"/>
    <w:rsid w:val="00F107F6"/>
    <w:rsid w:val="00F10CF9"/>
    <w:rsid w:val="00F12D6A"/>
    <w:rsid w:val="00F154C5"/>
    <w:rsid w:val="00F16C6C"/>
    <w:rsid w:val="00F17635"/>
    <w:rsid w:val="00F20FF8"/>
    <w:rsid w:val="00F23DCA"/>
    <w:rsid w:val="00F25811"/>
    <w:rsid w:val="00F27293"/>
    <w:rsid w:val="00F27E2C"/>
    <w:rsid w:val="00F30B54"/>
    <w:rsid w:val="00F317DA"/>
    <w:rsid w:val="00F319FA"/>
    <w:rsid w:val="00F37532"/>
    <w:rsid w:val="00F37E01"/>
    <w:rsid w:val="00F40391"/>
    <w:rsid w:val="00F41151"/>
    <w:rsid w:val="00F41E0A"/>
    <w:rsid w:val="00F42C5A"/>
    <w:rsid w:val="00F44A34"/>
    <w:rsid w:val="00F467E1"/>
    <w:rsid w:val="00F46E84"/>
    <w:rsid w:val="00F508B6"/>
    <w:rsid w:val="00F522C7"/>
    <w:rsid w:val="00F522E2"/>
    <w:rsid w:val="00F54E9E"/>
    <w:rsid w:val="00F55324"/>
    <w:rsid w:val="00F556F6"/>
    <w:rsid w:val="00F5645E"/>
    <w:rsid w:val="00F56C34"/>
    <w:rsid w:val="00F60B07"/>
    <w:rsid w:val="00F6379F"/>
    <w:rsid w:val="00F65CAE"/>
    <w:rsid w:val="00F677FF"/>
    <w:rsid w:val="00F67CE1"/>
    <w:rsid w:val="00F71232"/>
    <w:rsid w:val="00F804B6"/>
    <w:rsid w:val="00F80903"/>
    <w:rsid w:val="00F80B5D"/>
    <w:rsid w:val="00F8178D"/>
    <w:rsid w:val="00F84BFB"/>
    <w:rsid w:val="00F85D6F"/>
    <w:rsid w:val="00F90516"/>
    <w:rsid w:val="00F949EB"/>
    <w:rsid w:val="00F959AE"/>
    <w:rsid w:val="00F95B8B"/>
    <w:rsid w:val="00F95D57"/>
    <w:rsid w:val="00FA03F3"/>
    <w:rsid w:val="00FA27B7"/>
    <w:rsid w:val="00FA4FD3"/>
    <w:rsid w:val="00FA6279"/>
    <w:rsid w:val="00FA69C8"/>
    <w:rsid w:val="00FB0739"/>
    <w:rsid w:val="00FB46B9"/>
    <w:rsid w:val="00FC0286"/>
    <w:rsid w:val="00FC0960"/>
    <w:rsid w:val="00FC4646"/>
    <w:rsid w:val="00FC5513"/>
    <w:rsid w:val="00FD0969"/>
    <w:rsid w:val="00FD0D7D"/>
    <w:rsid w:val="00FD1458"/>
    <w:rsid w:val="00FD5112"/>
    <w:rsid w:val="00FD5B7D"/>
    <w:rsid w:val="00FD6258"/>
    <w:rsid w:val="00FD76E0"/>
    <w:rsid w:val="00FD7B08"/>
    <w:rsid w:val="00FE25A5"/>
    <w:rsid w:val="00FE2D8C"/>
    <w:rsid w:val="00FE3034"/>
    <w:rsid w:val="00FE5411"/>
    <w:rsid w:val="00FE751C"/>
    <w:rsid w:val="00FF1726"/>
    <w:rsid w:val="00FF26C7"/>
    <w:rsid w:val="00FF4343"/>
    <w:rsid w:val="00FF5C07"/>
    <w:rsid w:val="00FF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C69"/>
  </w:style>
  <w:style w:type="paragraph" w:styleId="Heading1">
    <w:name w:val="heading 1"/>
    <w:basedOn w:val="Normal"/>
    <w:next w:val="Normal"/>
    <w:link w:val="Heading1Char"/>
    <w:qFormat/>
    <w:rsid w:val="0000236C"/>
    <w:pPr>
      <w:keepNext/>
      <w:spacing w:after="0" w:line="240" w:lineRule="auto"/>
      <w:jc w:val="center"/>
      <w:outlineLvl w:val="0"/>
    </w:pPr>
    <w:rPr>
      <w:rFonts w:ascii="Verdana" w:eastAsia="Times New Roman" w:hAnsi="Verdana" w:cs="Times New Roman"/>
      <w:b/>
      <w:bCs/>
      <w:spacing w:val="-3"/>
      <w:szCs w:val="20"/>
    </w:rPr>
  </w:style>
  <w:style w:type="paragraph" w:styleId="Heading3">
    <w:name w:val="heading 3"/>
    <w:basedOn w:val="Normal"/>
    <w:next w:val="Normal"/>
    <w:link w:val="Heading3Char"/>
    <w:semiHidden/>
    <w:unhideWhenUsed/>
    <w:qFormat/>
    <w:rsid w:val="0000236C"/>
    <w:pPr>
      <w:keepNext/>
      <w:tabs>
        <w:tab w:val="left" w:pos="360"/>
        <w:tab w:val="left" w:pos="720"/>
        <w:tab w:val="left" w:pos="1080"/>
        <w:tab w:val="left" w:pos="1440"/>
        <w:tab w:val="left" w:pos="1800"/>
        <w:tab w:val="left" w:pos="2160"/>
        <w:tab w:val="left" w:pos="2520"/>
        <w:tab w:val="left" w:pos="2880"/>
      </w:tabs>
      <w:spacing w:before="120" w:after="120" w:line="240" w:lineRule="auto"/>
      <w:jc w:val="center"/>
      <w:outlineLvl w:val="2"/>
    </w:pPr>
    <w:rPr>
      <w:rFonts w:ascii="Verdana" w:eastAsia="Times New Roman" w:hAnsi="Verdana" w:cs="Times New Roman"/>
      <w:b/>
      <w:bCs/>
      <w:smallCaps/>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F4C"/>
    <w:pPr>
      <w:spacing w:after="0" w:line="240" w:lineRule="auto"/>
    </w:pPr>
  </w:style>
  <w:style w:type="paragraph" w:styleId="BalloonText">
    <w:name w:val="Balloon Text"/>
    <w:basedOn w:val="Normal"/>
    <w:link w:val="BalloonTextChar"/>
    <w:uiPriority w:val="99"/>
    <w:semiHidden/>
    <w:unhideWhenUsed/>
    <w:rsid w:val="00EA0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21"/>
    <w:rPr>
      <w:rFonts w:ascii="Tahoma" w:hAnsi="Tahoma" w:cs="Tahoma"/>
      <w:sz w:val="16"/>
      <w:szCs w:val="16"/>
    </w:rPr>
  </w:style>
  <w:style w:type="paragraph" w:styleId="FootnoteText">
    <w:name w:val="footnote text"/>
    <w:basedOn w:val="Normal"/>
    <w:link w:val="FootnoteTextChar"/>
    <w:uiPriority w:val="99"/>
    <w:semiHidden/>
    <w:unhideWhenUsed/>
    <w:rsid w:val="002D2A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A6C"/>
    <w:rPr>
      <w:sz w:val="20"/>
      <w:szCs w:val="20"/>
    </w:rPr>
  </w:style>
  <w:style w:type="character" w:styleId="FootnoteReference">
    <w:name w:val="footnote reference"/>
    <w:basedOn w:val="DefaultParagraphFont"/>
    <w:uiPriority w:val="99"/>
    <w:semiHidden/>
    <w:unhideWhenUsed/>
    <w:rsid w:val="002D2A6C"/>
    <w:rPr>
      <w:vertAlign w:val="superscript"/>
    </w:rPr>
  </w:style>
  <w:style w:type="paragraph" w:styleId="Header">
    <w:name w:val="header"/>
    <w:basedOn w:val="Normal"/>
    <w:link w:val="HeaderChar"/>
    <w:unhideWhenUsed/>
    <w:rsid w:val="003D14E4"/>
    <w:pPr>
      <w:tabs>
        <w:tab w:val="center" w:pos="4680"/>
        <w:tab w:val="right" w:pos="9360"/>
      </w:tabs>
      <w:spacing w:after="0" w:line="240" w:lineRule="auto"/>
    </w:pPr>
  </w:style>
  <w:style w:type="character" w:customStyle="1" w:styleId="HeaderChar">
    <w:name w:val="Header Char"/>
    <w:basedOn w:val="DefaultParagraphFont"/>
    <w:link w:val="Header"/>
    <w:rsid w:val="003D14E4"/>
  </w:style>
  <w:style w:type="paragraph" w:styleId="Footer">
    <w:name w:val="footer"/>
    <w:basedOn w:val="Normal"/>
    <w:link w:val="FooterChar"/>
    <w:uiPriority w:val="99"/>
    <w:semiHidden/>
    <w:unhideWhenUsed/>
    <w:rsid w:val="003D14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14E4"/>
  </w:style>
  <w:style w:type="character" w:customStyle="1" w:styleId="Heading1Char">
    <w:name w:val="Heading 1 Char"/>
    <w:basedOn w:val="DefaultParagraphFont"/>
    <w:link w:val="Heading1"/>
    <w:rsid w:val="0000236C"/>
    <w:rPr>
      <w:rFonts w:ascii="Verdana" w:eastAsia="Times New Roman" w:hAnsi="Verdana" w:cs="Times New Roman"/>
      <w:b/>
      <w:bCs/>
      <w:spacing w:val="-3"/>
      <w:szCs w:val="20"/>
    </w:rPr>
  </w:style>
  <w:style w:type="character" w:customStyle="1" w:styleId="Heading3Char">
    <w:name w:val="Heading 3 Char"/>
    <w:basedOn w:val="DefaultParagraphFont"/>
    <w:link w:val="Heading3"/>
    <w:semiHidden/>
    <w:rsid w:val="0000236C"/>
    <w:rPr>
      <w:rFonts w:ascii="Verdana" w:eastAsia="Times New Roman" w:hAnsi="Verdana" w:cs="Times New Roman"/>
      <w:b/>
      <w:bCs/>
      <w:smallCaps/>
      <w:spacing w:val="-3"/>
      <w:sz w:val="28"/>
      <w:szCs w:val="20"/>
    </w:rPr>
  </w:style>
  <w:style w:type="character" w:styleId="PageNumber">
    <w:name w:val="page number"/>
    <w:basedOn w:val="DefaultParagraphFont"/>
    <w:semiHidden/>
    <w:unhideWhenUsed/>
    <w:rsid w:val="0000236C"/>
  </w:style>
  <w:style w:type="paragraph" w:styleId="ListParagraph">
    <w:name w:val="List Paragraph"/>
    <w:basedOn w:val="Normal"/>
    <w:uiPriority w:val="34"/>
    <w:qFormat/>
    <w:rsid w:val="000023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C69"/>
  </w:style>
  <w:style w:type="paragraph" w:styleId="Heading1">
    <w:name w:val="heading 1"/>
    <w:basedOn w:val="Normal"/>
    <w:next w:val="Normal"/>
    <w:link w:val="Heading1Char"/>
    <w:qFormat/>
    <w:rsid w:val="0000236C"/>
    <w:pPr>
      <w:keepNext/>
      <w:spacing w:after="0" w:line="240" w:lineRule="auto"/>
      <w:jc w:val="center"/>
      <w:outlineLvl w:val="0"/>
    </w:pPr>
    <w:rPr>
      <w:rFonts w:ascii="Verdana" w:eastAsia="Times New Roman" w:hAnsi="Verdana" w:cs="Times New Roman"/>
      <w:b/>
      <w:bCs/>
      <w:spacing w:val="-3"/>
      <w:szCs w:val="20"/>
    </w:rPr>
  </w:style>
  <w:style w:type="paragraph" w:styleId="Heading3">
    <w:name w:val="heading 3"/>
    <w:basedOn w:val="Normal"/>
    <w:next w:val="Normal"/>
    <w:link w:val="Heading3Char"/>
    <w:semiHidden/>
    <w:unhideWhenUsed/>
    <w:qFormat/>
    <w:rsid w:val="0000236C"/>
    <w:pPr>
      <w:keepNext/>
      <w:tabs>
        <w:tab w:val="left" w:pos="360"/>
        <w:tab w:val="left" w:pos="720"/>
        <w:tab w:val="left" w:pos="1080"/>
        <w:tab w:val="left" w:pos="1440"/>
        <w:tab w:val="left" w:pos="1800"/>
        <w:tab w:val="left" w:pos="2160"/>
        <w:tab w:val="left" w:pos="2520"/>
        <w:tab w:val="left" w:pos="2880"/>
      </w:tabs>
      <w:spacing w:before="120" w:after="120" w:line="240" w:lineRule="auto"/>
      <w:jc w:val="center"/>
      <w:outlineLvl w:val="2"/>
    </w:pPr>
    <w:rPr>
      <w:rFonts w:ascii="Verdana" w:eastAsia="Times New Roman" w:hAnsi="Verdana" w:cs="Times New Roman"/>
      <w:b/>
      <w:bCs/>
      <w:smallCaps/>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F4C"/>
    <w:pPr>
      <w:spacing w:after="0" w:line="240" w:lineRule="auto"/>
    </w:pPr>
  </w:style>
  <w:style w:type="paragraph" w:styleId="BalloonText">
    <w:name w:val="Balloon Text"/>
    <w:basedOn w:val="Normal"/>
    <w:link w:val="BalloonTextChar"/>
    <w:uiPriority w:val="99"/>
    <w:semiHidden/>
    <w:unhideWhenUsed/>
    <w:rsid w:val="00EA0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21"/>
    <w:rPr>
      <w:rFonts w:ascii="Tahoma" w:hAnsi="Tahoma" w:cs="Tahoma"/>
      <w:sz w:val="16"/>
      <w:szCs w:val="16"/>
    </w:rPr>
  </w:style>
  <w:style w:type="paragraph" w:styleId="FootnoteText">
    <w:name w:val="footnote text"/>
    <w:basedOn w:val="Normal"/>
    <w:link w:val="FootnoteTextChar"/>
    <w:uiPriority w:val="99"/>
    <w:semiHidden/>
    <w:unhideWhenUsed/>
    <w:rsid w:val="002D2A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A6C"/>
    <w:rPr>
      <w:sz w:val="20"/>
      <w:szCs w:val="20"/>
    </w:rPr>
  </w:style>
  <w:style w:type="character" w:styleId="FootnoteReference">
    <w:name w:val="footnote reference"/>
    <w:basedOn w:val="DefaultParagraphFont"/>
    <w:uiPriority w:val="99"/>
    <w:semiHidden/>
    <w:unhideWhenUsed/>
    <w:rsid w:val="002D2A6C"/>
    <w:rPr>
      <w:vertAlign w:val="superscript"/>
    </w:rPr>
  </w:style>
  <w:style w:type="paragraph" w:styleId="Header">
    <w:name w:val="header"/>
    <w:basedOn w:val="Normal"/>
    <w:link w:val="HeaderChar"/>
    <w:unhideWhenUsed/>
    <w:rsid w:val="003D14E4"/>
    <w:pPr>
      <w:tabs>
        <w:tab w:val="center" w:pos="4680"/>
        <w:tab w:val="right" w:pos="9360"/>
      </w:tabs>
      <w:spacing w:after="0" w:line="240" w:lineRule="auto"/>
    </w:pPr>
  </w:style>
  <w:style w:type="character" w:customStyle="1" w:styleId="HeaderChar">
    <w:name w:val="Header Char"/>
    <w:basedOn w:val="DefaultParagraphFont"/>
    <w:link w:val="Header"/>
    <w:rsid w:val="003D14E4"/>
  </w:style>
  <w:style w:type="paragraph" w:styleId="Footer">
    <w:name w:val="footer"/>
    <w:basedOn w:val="Normal"/>
    <w:link w:val="FooterChar"/>
    <w:uiPriority w:val="99"/>
    <w:semiHidden/>
    <w:unhideWhenUsed/>
    <w:rsid w:val="003D14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14E4"/>
  </w:style>
  <w:style w:type="character" w:customStyle="1" w:styleId="Heading1Char">
    <w:name w:val="Heading 1 Char"/>
    <w:basedOn w:val="DefaultParagraphFont"/>
    <w:link w:val="Heading1"/>
    <w:rsid w:val="0000236C"/>
    <w:rPr>
      <w:rFonts w:ascii="Verdana" w:eastAsia="Times New Roman" w:hAnsi="Verdana" w:cs="Times New Roman"/>
      <w:b/>
      <w:bCs/>
      <w:spacing w:val="-3"/>
      <w:szCs w:val="20"/>
    </w:rPr>
  </w:style>
  <w:style w:type="character" w:customStyle="1" w:styleId="Heading3Char">
    <w:name w:val="Heading 3 Char"/>
    <w:basedOn w:val="DefaultParagraphFont"/>
    <w:link w:val="Heading3"/>
    <w:semiHidden/>
    <w:rsid w:val="0000236C"/>
    <w:rPr>
      <w:rFonts w:ascii="Verdana" w:eastAsia="Times New Roman" w:hAnsi="Verdana" w:cs="Times New Roman"/>
      <w:b/>
      <w:bCs/>
      <w:smallCaps/>
      <w:spacing w:val="-3"/>
      <w:sz w:val="28"/>
      <w:szCs w:val="20"/>
    </w:rPr>
  </w:style>
  <w:style w:type="character" w:styleId="PageNumber">
    <w:name w:val="page number"/>
    <w:basedOn w:val="DefaultParagraphFont"/>
    <w:semiHidden/>
    <w:unhideWhenUsed/>
    <w:rsid w:val="0000236C"/>
  </w:style>
  <w:style w:type="paragraph" w:styleId="ListParagraph">
    <w:name w:val="List Paragraph"/>
    <w:basedOn w:val="Normal"/>
    <w:uiPriority w:val="34"/>
    <w:qFormat/>
    <w:rsid w:val="00002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0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1ED7-9059-4283-8591-7214BC44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Office of Criminal District Attorney</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Silva</dc:creator>
  <cp:lastModifiedBy>Monica Badillo</cp:lastModifiedBy>
  <cp:revision>2</cp:revision>
  <cp:lastPrinted>2013-04-30T13:33:00Z</cp:lastPrinted>
  <dcterms:created xsi:type="dcterms:W3CDTF">2013-05-03T18:37:00Z</dcterms:created>
  <dcterms:modified xsi:type="dcterms:W3CDTF">2013-05-03T18:37:00Z</dcterms:modified>
</cp:coreProperties>
</file>