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6A" w:rsidRDefault="00B9246A" w:rsidP="00B9246A">
      <w:pPr>
        <w:pStyle w:val="PlainText"/>
        <w:rPr>
          <w:rFonts w:ascii="Arial" w:hAnsi="Arial" w:cs="Arial"/>
          <w:sz w:val="22"/>
          <w:szCs w:val="22"/>
        </w:rPr>
      </w:pPr>
      <w:r w:rsidRPr="00C270DA">
        <w:rPr>
          <w:rFonts w:ascii="Arial" w:hAnsi="Arial" w:cs="Arial"/>
          <w:sz w:val="22"/>
          <w:szCs w:val="22"/>
        </w:rPr>
        <w:t xml:space="preserve">The Criminal Justice Division (CJD) of the Governor's Office is soliciting applications for projects that support eligible </w:t>
      </w:r>
      <w:r>
        <w:rPr>
          <w:rFonts w:ascii="Arial" w:hAnsi="Arial" w:cs="Arial"/>
          <w:sz w:val="22"/>
          <w:szCs w:val="22"/>
        </w:rPr>
        <w:t>prostitution prevention</w:t>
      </w:r>
      <w:r w:rsidRPr="00C270DA">
        <w:rPr>
          <w:rFonts w:ascii="Arial" w:hAnsi="Arial" w:cs="Arial"/>
          <w:sz w:val="22"/>
          <w:szCs w:val="22"/>
        </w:rPr>
        <w:t xml:space="preserve"> programs</w:t>
      </w:r>
      <w:r w:rsidR="00456237">
        <w:rPr>
          <w:rFonts w:ascii="Arial" w:hAnsi="Arial" w:cs="Arial"/>
          <w:sz w:val="22"/>
          <w:szCs w:val="22"/>
        </w:rPr>
        <w:t xml:space="preserve"> during the state fiscal year 2015 grant cycle</w:t>
      </w:r>
      <w:r>
        <w:rPr>
          <w:rFonts w:ascii="Arial" w:hAnsi="Arial" w:cs="Arial"/>
          <w:sz w:val="22"/>
          <w:szCs w:val="22"/>
        </w:rPr>
        <w:t>.</w:t>
      </w:r>
    </w:p>
    <w:p w:rsidR="00B9246A" w:rsidRPr="00C270DA" w:rsidRDefault="00B9246A" w:rsidP="00B9246A">
      <w:pPr>
        <w:pStyle w:val="PlainText"/>
        <w:rPr>
          <w:rFonts w:ascii="Arial" w:hAnsi="Arial" w:cs="Arial"/>
          <w:sz w:val="22"/>
          <w:szCs w:val="22"/>
        </w:rPr>
      </w:pPr>
    </w:p>
    <w:p w:rsidR="00B9246A" w:rsidRPr="00C270DA" w:rsidRDefault="00B9246A" w:rsidP="00B9246A">
      <w:pPr>
        <w:pStyle w:val="PlainText"/>
        <w:rPr>
          <w:rFonts w:ascii="Arial" w:hAnsi="Arial" w:cs="Arial"/>
          <w:sz w:val="22"/>
          <w:szCs w:val="22"/>
        </w:rPr>
      </w:pPr>
      <w:r w:rsidRPr="00C270DA">
        <w:rPr>
          <w:rFonts w:ascii="Arial" w:hAnsi="Arial" w:cs="Arial"/>
          <w:b/>
          <w:sz w:val="22"/>
          <w:szCs w:val="22"/>
        </w:rPr>
        <w:t>Purpose:</w:t>
      </w:r>
      <w:r w:rsidRPr="00C270DA">
        <w:rPr>
          <w:rFonts w:ascii="Arial" w:hAnsi="Arial" w:cs="Arial"/>
          <w:sz w:val="22"/>
          <w:szCs w:val="22"/>
        </w:rPr>
        <w:t xml:space="preserve">  The </w:t>
      </w:r>
      <w:r>
        <w:rPr>
          <w:rFonts w:ascii="Arial" w:hAnsi="Arial" w:cs="Arial"/>
          <w:sz w:val="22"/>
          <w:szCs w:val="22"/>
        </w:rPr>
        <w:t>Prostitution Prevention</w:t>
      </w:r>
      <w:r w:rsidRPr="00C270DA">
        <w:rPr>
          <w:rFonts w:ascii="Arial" w:hAnsi="Arial" w:cs="Arial"/>
          <w:sz w:val="22"/>
          <w:szCs w:val="22"/>
        </w:rPr>
        <w:t xml:space="preserve"> Program </w:t>
      </w:r>
      <w:r>
        <w:rPr>
          <w:rFonts w:ascii="Arial" w:hAnsi="Arial" w:cs="Arial"/>
          <w:sz w:val="22"/>
          <w:szCs w:val="22"/>
        </w:rPr>
        <w:t>supports programs</w:t>
      </w:r>
      <w:r w:rsidRPr="00C270DA">
        <w:rPr>
          <w:rFonts w:ascii="Arial" w:hAnsi="Arial" w:cs="Arial"/>
          <w:sz w:val="22"/>
          <w:szCs w:val="22"/>
        </w:rPr>
        <w:t xml:space="preserve"> as defined in Chapter </w:t>
      </w:r>
      <w:r>
        <w:rPr>
          <w:rFonts w:ascii="Arial" w:hAnsi="Arial" w:cs="Arial"/>
          <w:sz w:val="22"/>
          <w:szCs w:val="22"/>
        </w:rPr>
        <w:t>169A</w:t>
      </w:r>
      <w:r w:rsidRPr="00C270DA">
        <w:rPr>
          <w:rFonts w:ascii="Arial" w:hAnsi="Arial" w:cs="Arial"/>
          <w:sz w:val="22"/>
          <w:szCs w:val="22"/>
        </w:rPr>
        <w:t xml:space="preserve"> of the Texas Health and Safety Code, which incorporate the following essential characteristics:</w:t>
      </w:r>
    </w:p>
    <w:p w:rsidR="00B9246A" w:rsidRPr="00C270DA" w:rsidRDefault="00B9246A" w:rsidP="00B9246A">
      <w:pPr>
        <w:pStyle w:val="PlainText"/>
        <w:numPr>
          <w:ilvl w:val="0"/>
          <w:numId w:val="4"/>
        </w:numPr>
        <w:rPr>
          <w:rFonts w:ascii="Arial" w:hAnsi="Arial" w:cs="Arial"/>
          <w:sz w:val="22"/>
          <w:szCs w:val="22"/>
        </w:rPr>
      </w:pPr>
      <w:r w:rsidRPr="00C270DA">
        <w:rPr>
          <w:rFonts w:ascii="Arial" w:hAnsi="Arial" w:cs="Arial"/>
          <w:sz w:val="22"/>
          <w:szCs w:val="22"/>
        </w:rPr>
        <w:t>The integration of services in the processing of cases in the judicial system;</w:t>
      </w:r>
    </w:p>
    <w:p w:rsidR="00B9246A" w:rsidRPr="00C270DA" w:rsidRDefault="00B9246A" w:rsidP="00B9246A">
      <w:pPr>
        <w:pStyle w:val="PlainText"/>
        <w:numPr>
          <w:ilvl w:val="0"/>
          <w:numId w:val="4"/>
        </w:numPr>
        <w:rPr>
          <w:rFonts w:ascii="Arial" w:hAnsi="Arial" w:cs="Arial"/>
          <w:sz w:val="22"/>
          <w:szCs w:val="22"/>
        </w:rPr>
      </w:pPr>
      <w:r w:rsidRPr="00C270DA">
        <w:rPr>
          <w:rFonts w:ascii="Arial" w:hAnsi="Arial" w:cs="Arial"/>
          <w:sz w:val="22"/>
          <w:szCs w:val="22"/>
        </w:rPr>
        <w:t>The use of a non-adversarial approach involving prosecutors and defense attorneys to promote public safety</w:t>
      </w:r>
      <w:r>
        <w:rPr>
          <w:rFonts w:ascii="Arial" w:hAnsi="Arial" w:cs="Arial"/>
          <w:sz w:val="22"/>
          <w:szCs w:val="22"/>
        </w:rPr>
        <w:t xml:space="preserve">, to reduce the demand for the commercial sex trade and trafficking of persons by educating offenders, and to protect the due process rights </w:t>
      </w:r>
      <w:r w:rsidRPr="00C270DA">
        <w:rPr>
          <w:rFonts w:ascii="Arial" w:hAnsi="Arial" w:cs="Arial"/>
          <w:sz w:val="22"/>
          <w:szCs w:val="22"/>
        </w:rPr>
        <w:t>of program participants;</w:t>
      </w:r>
    </w:p>
    <w:p w:rsidR="00B9246A" w:rsidRPr="00C270DA" w:rsidRDefault="00B9246A" w:rsidP="00B9246A">
      <w:pPr>
        <w:pStyle w:val="PlainText"/>
        <w:numPr>
          <w:ilvl w:val="0"/>
          <w:numId w:val="4"/>
        </w:numPr>
        <w:rPr>
          <w:rFonts w:ascii="Arial" w:hAnsi="Arial" w:cs="Arial"/>
          <w:sz w:val="22"/>
          <w:szCs w:val="22"/>
        </w:rPr>
      </w:pPr>
      <w:r w:rsidRPr="00C270DA">
        <w:rPr>
          <w:rFonts w:ascii="Arial" w:hAnsi="Arial" w:cs="Arial"/>
          <w:sz w:val="22"/>
          <w:szCs w:val="22"/>
        </w:rPr>
        <w:t>Early identification and prompt placement of eligible participants in the program;</w:t>
      </w:r>
    </w:p>
    <w:p w:rsidR="00B9246A" w:rsidRPr="00C270DA" w:rsidRDefault="00B9246A" w:rsidP="00B9246A">
      <w:pPr>
        <w:pStyle w:val="PlainText"/>
        <w:numPr>
          <w:ilvl w:val="0"/>
          <w:numId w:val="4"/>
        </w:numPr>
        <w:rPr>
          <w:rFonts w:ascii="Arial" w:hAnsi="Arial" w:cs="Arial"/>
          <w:sz w:val="22"/>
          <w:szCs w:val="22"/>
        </w:rPr>
      </w:pPr>
      <w:r w:rsidRPr="00C270DA">
        <w:rPr>
          <w:rFonts w:ascii="Arial" w:hAnsi="Arial" w:cs="Arial"/>
          <w:sz w:val="22"/>
          <w:szCs w:val="22"/>
        </w:rPr>
        <w:t xml:space="preserve">Access to </w:t>
      </w:r>
      <w:r>
        <w:rPr>
          <w:rFonts w:ascii="Arial" w:hAnsi="Arial" w:cs="Arial"/>
          <w:sz w:val="22"/>
          <w:szCs w:val="22"/>
        </w:rPr>
        <w:t>information, counseling, and services relating to sex addiction, sexually transmitted diseases, mental health, and substance abuse</w:t>
      </w:r>
      <w:r w:rsidRPr="00C270DA">
        <w:rPr>
          <w:rFonts w:ascii="Arial" w:hAnsi="Arial" w:cs="Arial"/>
          <w:sz w:val="22"/>
          <w:szCs w:val="22"/>
        </w:rPr>
        <w:t>;</w:t>
      </w:r>
    </w:p>
    <w:p w:rsidR="00B9246A" w:rsidRPr="00C270DA" w:rsidRDefault="00B9246A" w:rsidP="00B9246A">
      <w:pPr>
        <w:pStyle w:val="PlainText"/>
        <w:numPr>
          <w:ilvl w:val="0"/>
          <w:numId w:val="4"/>
        </w:numPr>
        <w:rPr>
          <w:rFonts w:ascii="Arial" w:hAnsi="Arial" w:cs="Arial"/>
          <w:sz w:val="22"/>
          <w:szCs w:val="22"/>
        </w:rPr>
      </w:pPr>
      <w:r w:rsidRPr="00C270DA">
        <w:rPr>
          <w:rFonts w:ascii="Arial" w:hAnsi="Arial" w:cs="Arial"/>
          <w:sz w:val="22"/>
          <w:szCs w:val="22"/>
        </w:rPr>
        <w:t>A coordinated strategy to govern program responses to participants’ compliance;</w:t>
      </w:r>
    </w:p>
    <w:p w:rsidR="00B9246A" w:rsidRPr="00C270DA" w:rsidRDefault="00B9246A" w:rsidP="00B9246A">
      <w:pPr>
        <w:pStyle w:val="PlainText"/>
        <w:numPr>
          <w:ilvl w:val="0"/>
          <w:numId w:val="4"/>
        </w:numPr>
        <w:rPr>
          <w:rFonts w:ascii="Arial" w:hAnsi="Arial" w:cs="Arial"/>
          <w:sz w:val="22"/>
          <w:szCs w:val="22"/>
        </w:rPr>
      </w:pPr>
      <w:r w:rsidRPr="00C270DA">
        <w:rPr>
          <w:rFonts w:ascii="Arial" w:hAnsi="Arial" w:cs="Arial"/>
          <w:sz w:val="22"/>
          <w:szCs w:val="22"/>
        </w:rPr>
        <w:t>Monitoring and evaluation of program goals and effectiveness;</w:t>
      </w:r>
    </w:p>
    <w:p w:rsidR="00B9246A" w:rsidRPr="00C270DA" w:rsidRDefault="00B9246A" w:rsidP="00B9246A">
      <w:pPr>
        <w:pStyle w:val="PlainText"/>
        <w:numPr>
          <w:ilvl w:val="0"/>
          <w:numId w:val="4"/>
        </w:numPr>
        <w:rPr>
          <w:rFonts w:ascii="Arial" w:hAnsi="Arial" w:cs="Arial"/>
          <w:sz w:val="22"/>
          <w:szCs w:val="22"/>
        </w:rPr>
      </w:pPr>
      <w:r w:rsidRPr="00C270DA">
        <w:rPr>
          <w:rFonts w:ascii="Arial" w:hAnsi="Arial" w:cs="Arial"/>
          <w:sz w:val="22"/>
          <w:szCs w:val="22"/>
        </w:rPr>
        <w:t>Continuing interdisciplinary education to promote effective program planning, implementation, and operations; and</w:t>
      </w:r>
    </w:p>
    <w:p w:rsidR="00B9246A" w:rsidRPr="00C270DA" w:rsidRDefault="00B9246A" w:rsidP="00B9246A">
      <w:pPr>
        <w:pStyle w:val="PlainText"/>
        <w:numPr>
          <w:ilvl w:val="0"/>
          <w:numId w:val="4"/>
        </w:numPr>
        <w:rPr>
          <w:rFonts w:ascii="Arial" w:hAnsi="Arial" w:cs="Arial"/>
          <w:sz w:val="22"/>
          <w:szCs w:val="22"/>
        </w:rPr>
      </w:pPr>
      <w:r w:rsidRPr="00C270DA">
        <w:rPr>
          <w:rFonts w:ascii="Arial" w:hAnsi="Arial" w:cs="Arial"/>
          <w:sz w:val="22"/>
          <w:szCs w:val="22"/>
        </w:rPr>
        <w:t>Development of partnerships with public agencies and community organizations.</w:t>
      </w:r>
    </w:p>
    <w:p w:rsidR="00B9246A" w:rsidRPr="00C270DA" w:rsidRDefault="00B9246A" w:rsidP="00B9246A">
      <w:pPr>
        <w:pStyle w:val="PlainText"/>
        <w:rPr>
          <w:rFonts w:ascii="Arial" w:hAnsi="Arial" w:cs="Arial"/>
          <w:sz w:val="22"/>
          <w:szCs w:val="22"/>
        </w:rPr>
      </w:pPr>
    </w:p>
    <w:p w:rsidR="00B9246A" w:rsidRPr="00C270DA" w:rsidRDefault="00B9246A" w:rsidP="00B9246A">
      <w:pPr>
        <w:pStyle w:val="PlainText"/>
        <w:rPr>
          <w:rFonts w:ascii="Arial" w:hAnsi="Arial" w:cs="Arial"/>
          <w:sz w:val="22"/>
          <w:szCs w:val="22"/>
        </w:rPr>
      </w:pPr>
      <w:r w:rsidRPr="00C270DA">
        <w:rPr>
          <w:rFonts w:ascii="Arial" w:hAnsi="Arial" w:cs="Arial"/>
          <w:b/>
          <w:sz w:val="22"/>
          <w:szCs w:val="22"/>
        </w:rPr>
        <w:t>Available Funding:</w:t>
      </w:r>
      <w:r w:rsidRPr="00C270DA">
        <w:rPr>
          <w:rFonts w:ascii="Arial" w:hAnsi="Arial" w:cs="Arial"/>
          <w:sz w:val="22"/>
          <w:szCs w:val="22"/>
        </w:rPr>
        <w:t xml:space="preserve"> </w:t>
      </w:r>
      <w:r>
        <w:rPr>
          <w:rFonts w:ascii="Arial" w:hAnsi="Arial" w:cs="Arial"/>
          <w:sz w:val="22"/>
          <w:szCs w:val="22"/>
        </w:rPr>
        <w:t xml:space="preserve">State funding is authorized for these projects under </w:t>
      </w:r>
      <w:r w:rsidRPr="00C270DA">
        <w:rPr>
          <w:rFonts w:ascii="Arial" w:hAnsi="Arial" w:cs="Arial"/>
          <w:sz w:val="22"/>
          <w:szCs w:val="22"/>
        </w:rPr>
        <w:t>Texas Code of Criminal Procedure, Section 102.056 and Texas Government Code, Section 772.006</w:t>
      </w:r>
      <w:r w:rsidR="0074303B">
        <w:rPr>
          <w:rFonts w:ascii="Arial" w:hAnsi="Arial" w:cs="Arial"/>
          <w:sz w:val="22"/>
          <w:szCs w:val="22"/>
        </w:rPr>
        <w:t>, which</w:t>
      </w:r>
      <w:r w:rsidRPr="00C270DA">
        <w:rPr>
          <w:rFonts w:ascii="Arial" w:hAnsi="Arial" w:cs="Arial"/>
          <w:sz w:val="22"/>
          <w:szCs w:val="22"/>
        </w:rPr>
        <w:t xml:space="preserve"> authorizes the use of state funds to support criminal justice projects and designates CJD as the administering agency. The source of funding is a biennial appropriation by the Texas Legislature from funds collected through court costs and fees. All awards are subject to the availability of funds appropriated by the Texas Legislature for the 2014-2015 biennium.</w:t>
      </w:r>
    </w:p>
    <w:p w:rsidR="00B9246A" w:rsidRPr="00C270DA" w:rsidRDefault="00B9246A" w:rsidP="00B9246A">
      <w:pPr>
        <w:pStyle w:val="PlainText"/>
        <w:rPr>
          <w:rFonts w:ascii="Arial" w:hAnsi="Arial" w:cs="Arial"/>
          <w:sz w:val="22"/>
          <w:szCs w:val="22"/>
        </w:rPr>
      </w:pPr>
    </w:p>
    <w:p w:rsidR="00B9246A" w:rsidRPr="00C270DA" w:rsidRDefault="00B9246A" w:rsidP="00B9246A">
      <w:pPr>
        <w:rPr>
          <w:rFonts w:ascii="Arial" w:hAnsi="Arial" w:cs="Arial"/>
          <w:sz w:val="22"/>
          <w:szCs w:val="22"/>
        </w:rPr>
      </w:pPr>
      <w:r w:rsidRPr="00C270DA">
        <w:rPr>
          <w:rFonts w:ascii="Arial" w:hAnsi="Arial" w:cs="Arial"/>
          <w:b/>
          <w:sz w:val="22"/>
          <w:szCs w:val="22"/>
        </w:rPr>
        <w:t>Funding Levels</w:t>
      </w:r>
      <w:r w:rsidRPr="00C270DA">
        <w:rPr>
          <w:rFonts w:ascii="Arial" w:hAnsi="Arial" w:cs="Arial"/>
          <w:sz w:val="22"/>
          <w:szCs w:val="22"/>
        </w:rPr>
        <w:t>:</w:t>
      </w:r>
    </w:p>
    <w:p w:rsidR="00B9246A" w:rsidRPr="00C270DA" w:rsidRDefault="00B9246A" w:rsidP="00B9246A">
      <w:pPr>
        <w:rPr>
          <w:rFonts w:ascii="Arial" w:hAnsi="Arial" w:cs="Arial"/>
          <w:sz w:val="22"/>
          <w:szCs w:val="22"/>
        </w:rPr>
      </w:pPr>
      <w:r w:rsidRPr="00C270DA">
        <w:rPr>
          <w:rFonts w:ascii="Arial" w:hAnsi="Arial" w:cs="Arial"/>
          <w:sz w:val="22"/>
          <w:szCs w:val="22"/>
        </w:rPr>
        <w:t>Minimum: $10,000</w:t>
      </w:r>
    </w:p>
    <w:p w:rsidR="00B9246A" w:rsidRPr="00C270DA" w:rsidRDefault="00B9246A" w:rsidP="00B9246A">
      <w:pPr>
        <w:rPr>
          <w:rFonts w:ascii="Arial" w:hAnsi="Arial" w:cs="Arial"/>
          <w:sz w:val="22"/>
          <w:szCs w:val="22"/>
        </w:rPr>
      </w:pPr>
      <w:r w:rsidRPr="00C270DA">
        <w:rPr>
          <w:rFonts w:ascii="Arial" w:hAnsi="Arial" w:cs="Arial"/>
          <w:sz w:val="22"/>
          <w:szCs w:val="22"/>
        </w:rPr>
        <w:t xml:space="preserve">Maximum:  </w:t>
      </w:r>
      <w:r>
        <w:rPr>
          <w:rFonts w:ascii="Arial" w:hAnsi="Arial" w:cs="Arial"/>
          <w:sz w:val="22"/>
          <w:szCs w:val="22"/>
        </w:rPr>
        <w:t>$</w:t>
      </w:r>
      <w:r w:rsidR="00456237">
        <w:rPr>
          <w:rFonts w:ascii="Arial" w:hAnsi="Arial" w:cs="Arial"/>
          <w:sz w:val="22"/>
          <w:szCs w:val="22"/>
        </w:rPr>
        <w:t>150,000</w:t>
      </w:r>
    </w:p>
    <w:p w:rsidR="00B9246A" w:rsidRPr="00C270DA" w:rsidRDefault="00B9246A" w:rsidP="00B9246A">
      <w:pPr>
        <w:rPr>
          <w:rFonts w:ascii="Arial" w:hAnsi="Arial" w:cs="Arial"/>
          <w:sz w:val="22"/>
          <w:szCs w:val="22"/>
        </w:rPr>
      </w:pPr>
      <w:r w:rsidRPr="00C270DA">
        <w:rPr>
          <w:rFonts w:ascii="Arial" w:hAnsi="Arial" w:cs="Arial"/>
          <w:sz w:val="22"/>
          <w:szCs w:val="22"/>
        </w:rPr>
        <w:t>Match Requirement: None</w:t>
      </w:r>
    </w:p>
    <w:p w:rsidR="00B9246A" w:rsidRPr="00C270DA" w:rsidRDefault="00B9246A" w:rsidP="00B9246A">
      <w:pPr>
        <w:pStyle w:val="PlainText"/>
        <w:rPr>
          <w:rFonts w:ascii="Arial" w:hAnsi="Arial" w:cs="Arial"/>
          <w:sz w:val="22"/>
          <w:szCs w:val="22"/>
        </w:rPr>
      </w:pPr>
    </w:p>
    <w:p w:rsidR="00B9246A" w:rsidRPr="00C270DA" w:rsidRDefault="00B9246A" w:rsidP="00B9246A">
      <w:pPr>
        <w:pStyle w:val="PlainText"/>
        <w:rPr>
          <w:rFonts w:ascii="Arial" w:hAnsi="Arial" w:cs="Arial"/>
          <w:sz w:val="22"/>
          <w:szCs w:val="22"/>
        </w:rPr>
      </w:pPr>
      <w:r w:rsidRPr="00C270DA">
        <w:rPr>
          <w:rFonts w:ascii="Arial" w:hAnsi="Arial" w:cs="Arial"/>
          <w:b/>
          <w:sz w:val="22"/>
          <w:szCs w:val="22"/>
        </w:rPr>
        <w:t>Standards:</w:t>
      </w:r>
      <w:r w:rsidRPr="00C270DA">
        <w:rPr>
          <w:rFonts w:ascii="Arial" w:hAnsi="Arial" w:cs="Arial"/>
          <w:sz w:val="22"/>
          <w:szCs w:val="22"/>
        </w:rPr>
        <w:t xml:space="preserve"> </w:t>
      </w:r>
      <w:r w:rsidRPr="00B14D12">
        <w:rPr>
          <w:rFonts w:ascii="Arial" w:hAnsi="Arial" w:cs="Arial"/>
          <w:sz w:val="22"/>
          <w:szCs w:val="22"/>
        </w:rPr>
        <w:t xml:space="preserve">Grantees must comply with the standards applicable to this funding source cited in the </w:t>
      </w:r>
      <w:r w:rsidRPr="00B14D12">
        <w:rPr>
          <w:rFonts w:ascii="Arial" w:hAnsi="Arial" w:cs="Arial"/>
          <w:i/>
          <w:sz w:val="22"/>
          <w:szCs w:val="22"/>
        </w:rPr>
        <w:t>Texas Administrative Code</w:t>
      </w:r>
      <w:r w:rsidRPr="00B14D12">
        <w:rPr>
          <w:rFonts w:ascii="Arial" w:hAnsi="Arial" w:cs="Arial"/>
          <w:sz w:val="22"/>
          <w:szCs w:val="22"/>
        </w:rPr>
        <w:t xml:space="preserve"> (1 TAC Chapter 3), and all statutes, requirements, and guidelines applicable to this funding.</w:t>
      </w:r>
    </w:p>
    <w:p w:rsidR="00B9246A" w:rsidRPr="00C270DA" w:rsidRDefault="00B9246A" w:rsidP="00B9246A">
      <w:pPr>
        <w:pStyle w:val="PlainText"/>
        <w:rPr>
          <w:rFonts w:ascii="Arial" w:hAnsi="Arial" w:cs="Arial"/>
          <w:sz w:val="22"/>
          <w:szCs w:val="22"/>
        </w:rPr>
      </w:pPr>
    </w:p>
    <w:p w:rsidR="00B9246A" w:rsidRPr="00C270DA" w:rsidRDefault="00B9246A" w:rsidP="00B9246A">
      <w:pPr>
        <w:pStyle w:val="PlainText"/>
        <w:rPr>
          <w:rFonts w:ascii="Arial" w:hAnsi="Arial" w:cs="Arial"/>
          <w:sz w:val="22"/>
          <w:szCs w:val="22"/>
        </w:rPr>
      </w:pPr>
      <w:r w:rsidRPr="00C270DA">
        <w:rPr>
          <w:rFonts w:ascii="Arial" w:hAnsi="Arial" w:cs="Arial"/>
          <w:b/>
          <w:sz w:val="22"/>
          <w:szCs w:val="22"/>
        </w:rPr>
        <w:t>Prohibitions:</w:t>
      </w:r>
      <w:r w:rsidRPr="00C270DA">
        <w:rPr>
          <w:rFonts w:ascii="Arial" w:hAnsi="Arial" w:cs="Arial"/>
          <w:sz w:val="22"/>
          <w:szCs w:val="22"/>
        </w:rPr>
        <w:t xml:space="preserve"> Grant funds may not be used to support the following services, activities, and costs:</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inherently religious activities such as prayer, worship, religious instruction, or proselytization;</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lobbying;</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vehicles or equipment for government agencies that are for general agency use;</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 xml:space="preserve">weapons, ammunition, explosives or military vehicles; </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admission fees or tickets to any amusement park, recreational activity or sporting event;</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promotional gifts;</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food, meals, beverages, or other refreshments;</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membership dues for individuals;</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any expense or service that is readily available at no cost to the grant project or that is provided by other federal, state or local funds (e.g., supplanting);</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fundraising;</w:t>
      </w:r>
    </w:p>
    <w:p w:rsidR="00B9246A" w:rsidRPr="00C270DA" w:rsidRDefault="00B9246A" w:rsidP="00B9246A">
      <w:pPr>
        <w:numPr>
          <w:ilvl w:val="0"/>
          <w:numId w:val="1"/>
        </w:numPr>
        <w:rPr>
          <w:rFonts w:ascii="Arial" w:hAnsi="Arial" w:cs="Arial"/>
          <w:sz w:val="22"/>
          <w:szCs w:val="22"/>
        </w:rPr>
      </w:pPr>
      <w:r w:rsidRPr="00C270DA">
        <w:rPr>
          <w:rFonts w:ascii="Arial" w:hAnsi="Arial" w:cs="Arial"/>
          <w:sz w:val="22"/>
          <w:szCs w:val="22"/>
        </w:rPr>
        <w:t>construction, remodeling or renovation;</w:t>
      </w:r>
    </w:p>
    <w:p w:rsidR="00B14D12" w:rsidRDefault="00B9246A" w:rsidP="00B14D12">
      <w:pPr>
        <w:numPr>
          <w:ilvl w:val="0"/>
          <w:numId w:val="1"/>
        </w:numPr>
        <w:rPr>
          <w:rFonts w:ascii="Arial" w:hAnsi="Arial" w:cs="Arial"/>
          <w:sz w:val="22"/>
          <w:szCs w:val="22"/>
        </w:rPr>
      </w:pPr>
      <w:r w:rsidRPr="00B14D12">
        <w:rPr>
          <w:rFonts w:ascii="Arial" w:hAnsi="Arial" w:cs="Arial"/>
          <w:sz w:val="22"/>
          <w:szCs w:val="22"/>
        </w:rPr>
        <w:t xml:space="preserve">medical services; </w:t>
      </w:r>
    </w:p>
    <w:p w:rsidR="00B14D12" w:rsidRDefault="00B14D12" w:rsidP="00B14D12">
      <w:pPr>
        <w:numPr>
          <w:ilvl w:val="0"/>
          <w:numId w:val="1"/>
        </w:numPr>
        <w:rPr>
          <w:rFonts w:ascii="Arial" w:hAnsi="Arial" w:cs="Arial"/>
          <w:sz w:val="22"/>
          <w:szCs w:val="22"/>
        </w:rPr>
      </w:pPr>
      <w:r w:rsidRPr="00B14D12">
        <w:rPr>
          <w:rFonts w:ascii="Arial" w:hAnsi="Arial" w:cs="Arial"/>
          <w:sz w:val="22"/>
          <w:szCs w:val="22"/>
        </w:rPr>
        <w:lastRenderedPageBreak/>
        <w:t>transportation, lodging, per diem or any related costs for participants when grant funds are used to develop and conduct training</w:t>
      </w:r>
      <w:r>
        <w:rPr>
          <w:rFonts w:ascii="Arial" w:hAnsi="Arial" w:cs="Arial"/>
          <w:sz w:val="22"/>
          <w:szCs w:val="22"/>
        </w:rPr>
        <w:t>; and</w:t>
      </w:r>
    </w:p>
    <w:p w:rsidR="00B9246A" w:rsidRPr="00B14D12" w:rsidRDefault="00B14D12" w:rsidP="00B14D12">
      <w:pPr>
        <w:numPr>
          <w:ilvl w:val="0"/>
          <w:numId w:val="1"/>
        </w:numPr>
        <w:rPr>
          <w:rFonts w:ascii="Arial" w:hAnsi="Arial" w:cs="Arial"/>
          <w:sz w:val="22"/>
          <w:szCs w:val="22"/>
        </w:rPr>
      </w:pPr>
      <w:r>
        <w:rPr>
          <w:rFonts w:ascii="Arial" w:hAnsi="Arial" w:cs="Arial"/>
          <w:sz w:val="22"/>
          <w:szCs w:val="22"/>
        </w:rPr>
        <w:t xml:space="preserve">any other prohibition imposed by federal, state, or local law. </w:t>
      </w:r>
    </w:p>
    <w:p w:rsidR="00B9246A" w:rsidRPr="00C270DA" w:rsidRDefault="00B9246A" w:rsidP="00B9246A">
      <w:pPr>
        <w:rPr>
          <w:rFonts w:ascii="Arial" w:hAnsi="Arial" w:cs="Arial"/>
          <w:sz w:val="22"/>
          <w:szCs w:val="22"/>
        </w:rPr>
      </w:pPr>
    </w:p>
    <w:p w:rsidR="00B9246A" w:rsidRPr="00C270DA" w:rsidRDefault="00B9246A" w:rsidP="00B9246A">
      <w:pPr>
        <w:pStyle w:val="PlainText"/>
        <w:rPr>
          <w:rFonts w:ascii="Arial" w:hAnsi="Arial" w:cs="Arial"/>
          <w:sz w:val="22"/>
          <w:szCs w:val="22"/>
        </w:rPr>
      </w:pPr>
      <w:r w:rsidRPr="00C270DA">
        <w:rPr>
          <w:rFonts w:ascii="Arial" w:hAnsi="Arial" w:cs="Arial"/>
          <w:b/>
          <w:sz w:val="22"/>
          <w:szCs w:val="22"/>
        </w:rPr>
        <w:t>Eligible Applicants:</w:t>
      </w:r>
      <w:r w:rsidRPr="00C270DA">
        <w:rPr>
          <w:rFonts w:ascii="Arial" w:hAnsi="Arial" w:cs="Arial"/>
          <w:sz w:val="22"/>
          <w:szCs w:val="22"/>
        </w:rPr>
        <w:t xml:space="preserve">  </w:t>
      </w:r>
    </w:p>
    <w:p w:rsidR="00B9246A" w:rsidRDefault="00B9246A" w:rsidP="00B9246A">
      <w:pPr>
        <w:pStyle w:val="PlainText"/>
        <w:numPr>
          <w:ilvl w:val="0"/>
          <w:numId w:val="2"/>
        </w:numPr>
        <w:rPr>
          <w:rFonts w:ascii="Arial" w:hAnsi="Arial" w:cs="Arial"/>
          <w:sz w:val="22"/>
          <w:szCs w:val="22"/>
        </w:rPr>
      </w:pPr>
      <w:r w:rsidRPr="00C270DA">
        <w:rPr>
          <w:rFonts w:ascii="Arial" w:hAnsi="Arial" w:cs="Arial"/>
          <w:sz w:val="22"/>
          <w:szCs w:val="22"/>
        </w:rPr>
        <w:t xml:space="preserve">Counties; </w:t>
      </w:r>
    </w:p>
    <w:p w:rsidR="00B9246A" w:rsidRPr="00C270DA" w:rsidRDefault="00B9246A" w:rsidP="00B9246A">
      <w:pPr>
        <w:pStyle w:val="PlainText"/>
        <w:numPr>
          <w:ilvl w:val="0"/>
          <w:numId w:val="2"/>
        </w:numPr>
        <w:rPr>
          <w:rFonts w:ascii="Arial" w:hAnsi="Arial" w:cs="Arial"/>
          <w:sz w:val="22"/>
          <w:szCs w:val="22"/>
        </w:rPr>
      </w:pPr>
      <w:r>
        <w:rPr>
          <w:rFonts w:ascii="Arial" w:hAnsi="Arial" w:cs="Arial"/>
          <w:sz w:val="22"/>
          <w:szCs w:val="22"/>
        </w:rPr>
        <w:t xml:space="preserve">Cities; </w:t>
      </w:r>
      <w:r w:rsidRPr="00C270DA">
        <w:rPr>
          <w:rFonts w:ascii="Arial" w:hAnsi="Arial" w:cs="Arial"/>
          <w:sz w:val="22"/>
          <w:szCs w:val="22"/>
        </w:rPr>
        <w:t xml:space="preserve">and </w:t>
      </w:r>
    </w:p>
    <w:p w:rsidR="00B9246A" w:rsidRPr="00C270DA" w:rsidRDefault="00B9246A" w:rsidP="00B9246A">
      <w:pPr>
        <w:pStyle w:val="PlainText"/>
        <w:numPr>
          <w:ilvl w:val="0"/>
          <w:numId w:val="2"/>
        </w:numPr>
        <w:rPr>
          <w:rFonts w:ascii="Arial" w:hAnsi="Arial" w:cs="Arial"/>
          <w:sz w:val="22"/>
          <w:szCs w:val="22"/>
        </w:rPr>
      </w:pPr>
      <w:r w:rsidRPr="00C270DA">
        <w:rPr>
          <w:rFonts w:ascii="Arial" w:hAnsi="Arial" w:cs="Arial"/>
          <w:sz w:val="22"/>
          <w:szCs w:val="22"/>
        </w:rPr>
        <w:t>Judicial districts</w:t>
      </w:r>
    </w:p>
    <w:p w:rsidR="00B9246A" w:rsidRPr="00C270DA" w:rsidRDefault="00B9246A" w:rsidP="00B9246A">
      <w:pPr>
        <w:pStyle w:val="PlainText"/>
        <w:rPr>
          <w:rFonts w:ascii="Arial" w:hAnsi="Arial" w:cs="Arial"/>
          <w:sz w:val="22"/>
          <w:szCs w:val="22"/>
        </w:rPr>
      </w:pPr>
    </w:p>
    <w:p w:rsidR="00B9246A" w:rsidRPr="00C270DA" w:rsidRDefault="00B9246A" w:rsidP="00B9246A">
      <w:pPr>
        <w:pStyle w:val="PlainText"/>
        <w:rPr>
          <w:rFonts w:ascii="Arial" w:hAnsi="Arial" w:cs="Arial"/>
          <w:b/>
          <w:sz w:val="22"/>
          <w:szCs w:val="22"/>
        </w:rPr>
      </w:pPr>
      <w:r w:rsidRPr="00C270DA">
        <w:rPr>
          <w:rFonts w:ascii="Arial" w:hAnsi="Arial" w:cs="Arial"/>
          <w:b/>
          <w:sz w:val="22"/>
          <w:szCs w:val="22"/>
        </w:rPr>
        <w:t>Eligibility Requirements:</w:t>
      </w:r>
    </w:p>
    <w:p w:rsidR="00B9246A" w:rsidRDefault="00B9246A" w:rsidP="00B9246A">
      <w:pPr>
        <w:pStyle w:val="PlainText"/>
        <w:numPr>
          <w:ilvl w:val="0"/>
          <w:numId w:val="3"/>
        </w:numPr>
        <w:ind w:left="360"/>
        <w:rPr>
          <w:rFonts w:ascii="Arial" w:hAnsi="Arial" w:cs="Arial"/>
          <w:sz w:val="22"/>
          <w:szCs w:val="22"/>
        </w:rPr>
      </w:pPr>
      <w:r>
        <w:rPr>
          <w:rFonts w:ascii="Arial" w:hAnsi="Arial" w:cs="Arial"/>
          <w:sz w:val="22"/>
          <w:szCs w:val="22"/>
        </w:rPr>
        <w:t>Pursuant to Texas Health and Safety Code, Section 169A.002, the commissioners’ court of a county or governing body of a municipality may establish a prostitution prevention program for defendants charged with an offense under Section 43.02(a) (1), Penal Code, in which the defendant offered or agreed to engage in or engaged in sexual conduct for a fee.</w:t>
      </w:r>
    </w:p>
    <w:p w:rsidR="00B9246A" w:rsidRPr="00C270DA" w:rsidRDefault="00B9246A" w:rsidP="00B9246A">
      <w:pPr>
        <w:pStyle w:val="PlainText"/>
        <w:numPr>
          <w:ilvl w:val="0"/>
          <w:numId w:val="3"/>
        </w:numPr>
        <w:ind w:left="360"/>
        <w:rPr>
          <w:rFonts w:ascii="Arial" w:hAnsi="Arial" w:cs="Arial"/>
          <w:sz w:val="22"/>
          <w:szCs w:val="22"/>
        </w:rPr>
      </w:pPr>
      <w:r w:rsidRPr="00C270DA">
        <w:rPr>
          <w:rFonts w:ascii="Arial" w:hAnsi="Arial" w:cs="Arial"/>
          <w:sz w:val="22"/>
          <w:szCs w:val="22"/>
        </w:rPr>
        <w:t xml:space="preserve">Pursuant to Texas Health and Safety Code, Section </w:t>
      </w:r>
      <w:r>
        <w:rPr>
          <w:rFonts w:ascii="Arial" w:hAnsi="Arial" w:cs="Arial"/>
          <w:sz w:val="22"/>
          <w:szCs w:val="22"/>
        </w:rPr>
        <w:t>169A.0055</w:t>
      </w:r>
      <w:r w:rsidRPr="00C270DA">
        <w:rPr>
          <w:rFonts w:ascii="Arial" w:hAnsi="Arial" w:cs="Arial"/>
          <w:sz w:val="22"/>
          <w:szCs w:val="22"/>
        </w:rPr>
        <w:t>, counties with populations of more than 200,000</w:t>
      </w:r>
      <w:r w:rsidR="0074303B">
        <w:rPr>
          <w:rFonts w:ascii="Arial" w:hAnsi="Arial" w:cs="Arial"/>
          <w:sz w:val="22"/>
          <w:szCs w:val="22"/>
        </w:rPr>
        <w:t>, which do not contain a city with an established prostitution prevention program,</w:t>
      </w:r>
      <w:r w:rsidRPr="00C270DA">
        <w:rPr>
          <w:rFonts w:ascii="Arial" w:hAnsi="Arial" w:cs="Arial"/>
          <w:sz w:val="22"/>
          <w:szCs w:val="22"/>
        </w:rPr>
        <w:t xml:space="preserve"> are required to establish a </w:t>
      </w:r>
      <w:r>
        <w:rPr>
          <w:rFonts w:ascii="Arial" w:hAnsi="Arial" w:cs="Arial"/>
          <w:sz w:val="22"/>
          <w:szCs w:val="22"/>
        </w:rPr>
        <w:t>prostitution prevention program if the county receives sufficient federal or state funding specifically for that purpose</w:t>
      </w:r>
      <w:r w:rsidR="00B14D12">
        <w:rPr>
          <w:rFonts w:ascii="Arial" w:hAnsi="Arial" w:cs="Arial"/>
          <w:sz w:val="22"/>
          <w:szCs w:val="22"/>
        </w:rPr>
        <w:t>.</w:t>
      </w:r>
      <w:r w:rsidRPr="00C270DA">
        <w:rPr>
          <w:rFonts w:ascii="Arial" w:hAnsi="Arial" w:cs="Arial"/>
          <w:sz w:val="22"/>
          <w:szCs w:val="22"/>
        </w:rPr>
        <w:t xml:space="preserve"> </w:t>
      </w:r>
    </w:p>
    <w:p w:rsidR="00B9246A" w:rsidRPr="00C270DA" w:rsidRDefault="00B9246A" w:rsidP="00B9246A">
      <w:pPr>
        <w:pStyle w:val="PlainText"/>
        <w:numPr>
          <w:ilvl w:val="0"/>
          <w:numId w:val="3"/>
        </w:numPr>
        <w:ind w:left="360"/>
        <w:rPr>
          <w:rFonts w:ascii="Arial" w:hAnsi="Arial" w:cs="Arial"/>
          <w:sz w:val="22"/>
          <w:szCs w:val="22"/>
        </w:rPr>
      </w:pPr>
      <w:r w:rsidRPr="00C270DA">
        <w:rPr>
          <w:rFonts w:ascii="Arial" w:hAnsi="Arial" w:cs="Arial"/>
          <w:sz w:val="22"/>
          <w:szCs w:val="22"/>
        </w:rPr>
        <w:t xml:space="preserve">The </w:t>
      </w:r>
      <w:r>
        <w:rPr>
          <w:rFonts w:ascii="Arial" w:hAnsi="Arial" w:cs="Arial"/>
          <w:sz w:val="22"/>
          <w:szCs w:val="22"/>
        </w:rPr>
        <w:t>program</w:t>
      </w:r>
      <w:r w:rsidRPr="00C270DA">
        <w:rPr>
          <w:rFonts w:ascii="Arial" w:hAnsi="Arial" w:cs="Arial"/>
          <w:sz w:val="22"/>
          <w:szCs w:val="22"/>
        </w:rPr>
        <w:t xml:space="preserve"> must be registered with CJD as required in the Texas Health and Safety Code, Section </w:t>
      </w:r>
      <w:r>
        <w:rPr>
          <w:rFonts w:ascii="Arial" w:hAnsi="Arial" w:cs="Arial"/>
          <w:sz w:val="22"/>
          <w:szCs w:val="22"/>
        </w:rPr>
        <w:t>169A.004</w:t>
      </w:r>
      <w:r w:rsidRPr="00C270DA">
        <w:rPr>
          <w:rFonts w:ascii="Arial" w:hAnsi="Arial" w:cs="Arial"/>
          <w:sz w:val="22"/>
          <w:szCs w:val="22"/>
        </w:rPr>
        <w:t>, and must maintain a current registration throughout the grant period</w:t>
      </w:r>
      <w:r w:rsidR="00B14D12">
        <w:rPr>
          <w:rFonts w:ascii="Arial" w:hAnsi="Arial" w:cs="Arial"/>
          <w:sz w:val="22"/>
          <w:szCs w:val="22"/>
        </w:rPr>
        <w:t>.</w:t>
      </w:r>
    </w:p>
    <w:p w:rsidR="00B9246A" w:rsidRPr="00C270DA" w:rsidRDefault="00B9246A" w:rsidP="00B9246A">
      <w:pPr>
        <w:pStyle w:val="PlainText"/>
        <w:numPr>
          <w:ilvl w:val="0"/>
          <w:numId w:val="3"/>
        </w:numPr>
        <w:ind w:left="360"/>
        <w:rPr>
          <w:rFonts w:ascii="Arial" w:hAnsi="Arial" w:cs="Arial"/>
          <w:sz w:val="22"/>
          <w:szCs w:val="22"/>
        </w:rPr>
      </w:pPr>
      <w:r w:rsidRPr="00C270DA">
        <w:rPr>
          <w:rFonts w:ascii="Arial" w:hAnsi="Arial" w:cs="Arial"/>
          <w:sz w:val="22"/>
          <w:szCs w:val="22"/>
        </w:rPr>
        <w:t>Any portion of fees collected from program participants and retained by the grantee is considered generated program income (GPI) and must be applied to the grant through a grant adjustment.  GPI must be used to offset project costs and must be expended prior to seeking payment from CJD</w:t>
      </w:r>
      <w:r w:rsidR="00B14D12">
        <w:rPr>
          <w:rFonts w:ascii="Arial" w:hAnsi="Arial" w:cs="Arial"/>
          <w:sz w:val="22"/>
          <w:szCs w:val="22"/>
        </w:rPr>
        <w:t>.</w:t>
      </w:r>
    </w:p>
    <w:p w:rsidR="00B9246A" w:rsidRPr="00C270DA" w:rsidRDefault="00B9246A" w:rsidP="00B9246A">
      <w:pPr>
        <w:pStyle w:val="ListParagraph"/>
        <w:numPr>
          <w:ilvl w:val="0"/>
          <w:numId w:val="3"/>
        </w:numPr>
        <w:spacing w:after="0" w:line="240" w:lineRule="auto"/>
        <w:ind w:left="360"/>
        <w:rPr>
          <w:rFonts w:ascii="Arial" w:hAnsi="Arial" w:cs="Arial"/>
        </w:rPr>
      </w:pPr>
      <w:r w:rsidRPr="00C270DA">
        <w:rPr>
          <w:rFonts w:ascii="Arial" w:hAnsi="Arial" w:cs="Arial"/>
        </w:rPr>
        <w:t>In order for an applicant to be eligible, the county (or counties) in which the applicant is located must have a 90% average on both adult and juvenile criminal history dispositions to the Texas Department of Public Safety for calendar years 200</w:t>
      </w:r>
      <w:r w:rsidR="004D6A70">
        <w:rPr>
          <w:rFonts w:ascii="Arial" w:hAnsi="Arial" w:cs="Arial"/>
        </w:rPr>
        <w:t>8</w:t>
      </w:r>
      <w:r w:rsidRPr="00C270DA">
        <w:rPr>
          <w:rFonts w:ascii="Arial" w:hAnsi="Arial" w:cs="Arial"/>
        </w:rPr>
        <w:t xml:space="preserve"> through 201</w:t>
      </w:r>
      <w:r w:rsidR="004D6A70">
        <w:rPr>
          <w:rFonts w:ascii="Arial" w:hAnsi="Arial" w:cs="Arial"/>
        </w:rPr>
        <w:t>2</w:t>
      </w:r>
      <w:r w:rsidRPr="00C270DA">
        <w:rPr>
          <w:rFonts w:ascii="Arial" w:hAnsi="Arial" w:cs="Arial"/>
        </w:rPr>
        <w:t xml:space="preserve">.  This requirement must </w:t>
      </w:r>
      <w:r w:rsidR="00B14D12">
        <w:rPr>
          <w:rFonts w:ascii="Arial" w:hAnsi="Arial" w:cs="Arial"/>
        </w:rPr>
        <w:t>be</w:t>
      </w:r>
      <w:r w:rsidRPr="00C270DA">
        <w:rPr>
          <w:rFonts w:ascii="Arial" w:hAnsi="Arial" w:cs="Arial"/>
        </w:rPr>
        <w:t xml:space="preserve"> met by August 1, 201</w:t>
      </w:r>
      <w:r w:rsidR="004D6A70">
        <w:rPr>
          <w:rFonts w:ascii="Arial" w:hAnsi="Arial" w:cs="Arial"/>
        </w:rPr>
        <w:t>4</w:t>
      </w:r>
      <w:r w:rsidR="00B14D12">
        <w:rPr>
          <w:rFonts w:ascii="Arial" w:hAnsi="Arial" w:cs="Arial"/>
        </w:rPr>
        <w:t>.</w:t>
      </w:r>
      <w:r w:rsidRPr="00C270DA">
        <w:rPr>
          <w:rFonts w:ascii="Arial" w:hAnsi="Arial" w:cs="Arial"/>
        </w:rPr>
        <w:t xml:space="preserve"> </w:t>
      </w:r>
    </w:p>
    <w:p w:rsidR="00B9246A" w:rsidRPr="00C270DA" w:rsidRDefault="00B9246A" w:rsidP="00B9246A">
      <w:pPr>
        <w:numPr>
          <w:ilvl w:val="0"/>
          <w:numId w:val="3"/>
        </w:numPr>
        <w:ind w:left="360"/>
        <w:rPr>
          <w:rFonts w:ascii="Arial" w:hAnsi="Arial" w:cs="Arial"/>
          <w:sz w:val="22"/>
          <w:szCs w:val="22"/>
        </w:rPr>
      </w:pPr>
      <w:r w:rsidRPr="00C270DA">
        <w:rPr>
          <w:rFonts w:ascii="Arial" w:hAnsi="Arial" w:cs="Arial"/>
          <w:sz w:val="22"/>
          <w:szCs w:val="22"/>
        </w:rPr>
        <w:t>Applicants must have a DUNS (Data Universal Numbering System) number assigned to its agency</w:t>
      </w:r>
      <w:r w:rsidR="0074303B">
        <w:rPr>
          <w:rFonts w:ascii="Arial" w:hAnsi="Arial" w:cs="Arial"/>
          <w:sz w:val="22"/>
          <w:szCs w:val="22"/>
        </w:rPr>
        <w:t xml:space="preserve"> </w:t>
      </w:r>
      <w:r w:rsidRPr="00C270DA">
        <w:rPr>
          <w:rFonts w:ascii="Arial" w:hAnsi="Arial" w:cs="Arial"/>
          <w:sz w:val="22"/>
          <w:szCs w:val="22"/>
        </w:rPr>
        <w:t xml:space="preserve">(to request a DUNS number, go to </w:t>
      </w:r>
      <w:hyperlink r:id="rId7" w:history="1">
        <w:r w:rsidRPr="00C270DA">
          <w:rPr>
            <w:rStyle w:val="Hyperlink"/>
            <w:rFonts w:ascii="Arial" w:hAnsi="Arial" w:cs="Arial"/>
            <w:sz w:val="22"/>
            <w:szCs w:val="22"/>
          </w:rPr>
          <w:t>http://fedgov.dnb.com/webform/displayHomePage.do</w:t>
        </w:r>
      </w:hyperlink>
      <w:r w:rsidRPr="00C270DA">
        <w:rPr>
          <w:rFonts w:ascii="Arial" w:hAnsi="Arial" w:cs="Arial"/>
          <w:sz w:val="22"/>
          <w:szCs w:val="22"/>
          <w:u w:val="single"/>
        </w:rPr>
        <w:t>)</w:t>
      </w:r>
      <w:r w:rsidR="00B14D12">
        <w:rPr>
          <w:rFonts w:ascii="Arial" w:hAnsi="Arial" w:cs="Arial"/>
          <w:sz w:val="22"/>
          <w:szCs w:val="22"/>
        </w:rPr>
        <w:t>.</w:t>
      </w:r>
      <w:r w:rsidRPr="00C270DA">
        <w:rPr>
          <w:rFonts w:ascii="Arial" w:hAnsi="Arial" w:cs="Arial"/>
          <w:sz w:val="22"/>
          <w:szCs w:val="22"/>
        </w:rPr>
        <w:tab/>
      </w:r>
    </w:p>
    <w:p w:rsidR="00B9246A" w:rsidRPr="00C270DA" w:rsidRDefault="00B9246A" w:rsidP="00B9246A">
      <w:pPr>
        <w:pStyle w:val="ListParagraph"/>
        <w:numPr>
          <w:ilvl w:val="0"/>
          <w:numId w:val="3"/>
        </w:numPr>
        <w:spacing w:after="0" w:line="240" w:lineRule="auto"/>
        <w:ind w:left="360"/>
        <w:rPr>
          <w:rFonts w:ascii="Arial" w:hAnsi="Arial" w:cs="Arial"/>
        </w:rPr>
      </w:pPr>
      <w:r w:rsidRPr="00C270DA">
        <w:rPr>
          <w:rFonts w:ascii="Arial" w:hAnsi="Arial" w:cs="Arial"/>
        </w:rPr>
        <w:t xml:space="preserve">Eligible applicants must be registered in the federal System for Award Management (SAM) database located at </w:t>
      </w:r>
      <w:hyperlink r:id="rId8" w:history="1">
        <w:r w:rsidRPr="00C270DA">
          <w:rPr>
            <w:rStyle w:val="Hyperlink"/>
            <w:rFonts w:ascii="Arial" w:hAnsi="Arial" w:cs="Arial"/>
          </w:rPr>
          <w:t>https://www.sam.gov/portal/public/SAM/</w:t>
        </w:r>
      </w:hyperlink>
      <w:r w:rsidRPr="00C270DA">
        <w:rPr>
          <w:rFonts w:ascii="Arial" w:hAnsi="Arial" w:cs="Arial"/>
        </w:rPr>
        <w:t xml:space="preserve"> and maintain an active registration throughout the grant period</w:t>
      </w:r>
      <w:r w:rsidR="00B14D12">
        <w:rPr>
          <w:rFonts w:ascii="Arial" w:hAnsi="Arial" w:cs="Arial"/>
        </w:rPr>
        <w:t>.</w:t>
      </w:r>
    </w:p>
    <w:p w:rsidR="00B9246A" w:rsidRPr="00C270DA" w:rsidRDefault="00B9246A" w:rsidP="00B9246A">
      <w:pPr>
        <w:pStyle w:val="PlainText"/>
        <w:rPr>
          <w:rFonts w:ascii="Arial" w:hAnsi="Arial" w:cs="Arial"/>
          <w:b/>
          <w:sz w:val="22"/>
          <w:szCs w:val="22"/>
        </w:rPr>
      </w:pPr>
    </w:p>
    <w:p w:rsidR="00B9246A" w:rsidRPr="00C270DA" w:rsidRDefault="00B9246A" w:rsidP="00B9246A">
      <w:pPr>
        <w:pStyle w:val="PlainText"/>
        <w:rPr>
          <w:rFonts w:ascii="Arial" w:hAnsi="Arial" w:cs="Arial"/>
          <w:sz w:val="22"/>
          <w:szCs w:val="22"/>
        </w:rPr>
      </w:pPr>
      <w:r w:rsidRPr="00C270DA">
        <w:rPr>
          <w:rFonts w:ascii="Arial" w:hAnsi="Arial" w:cs="Arial"/>
          <w:b/>
          <w:sz w:val="22"/>
          <w:szCs w:val="22"/>
        </w:rPr>
        <w:t>Project Period:</w:t>
      </w:r>
      <w:r w:rsidRPr="00C270DA">
        <w:rPr>
          <w:rFonts w:ascii="Arial" w:hAnsi="Arial" w:cs="Arial"/>
          <w:sz w:val="22"/>
          <w:szCs w:val="22"/>
        </w:rPr>
        <w:t xml:space="preserve"> Grant-funded projects must begin on or after September 1, </w:t>
      </w:r>
      <w:r w:rsidR="00B64359">
        <w:rPr>
          <w:rFonts w:ascii="Arial" w:hAnsi="Arial" w:cs="Arial"/>
          <w:sz w:val="22"/>
          <w:szCs w:val="22"/>
        </w:rPr>
        <w:t>2014</w:t>
      </w:r>
      <w:r w:rsidRPr="00C270DA">
        <w:rPr>
          <w:rFonts w:ascii="Arial" w:hAnsi="Arial" w:cs="Arial"/>
          <w:sz w:val="22"/>
          <w:szCs w:val="22"/>
        </w:rPr>
        <w:t xml:space="preserve">, and expire on or before August 31, </w:t>
      </w:r>
      <w:r w:rsidR="00B64359">
        <w:rPr>
          <w:rFonts w:ascii="Arial" w:hAnsi="Arial" w:cs="Arial"/>
          <w:sz w:val="22"/>
          <w:szCs w:val="22"/>
        </w:rPr>
        <w:t>2015</w:t>
      </w:r>
      <w:r w:rsidRPr="00C270DA">
        <w:rPr>
          <w:rFonts w:ascii="Arial" w:hAnsi="Arial" w:cs="Arial"/>
          <w:sz w:val="22"/>
          <w:szCs w:val="22"/>
        </w:rPr>
        <w:t>.</w:t>
      </w:r>
    </w:p>
    <w:p w:rsidR="00B9246A" w:rsidRPr="00C270DA" w:rsidRDefault="00B9246A" w:rsidP="00B9246A">
      <w:pPr>
        <w:rPr>
          <w:rFonts w:ascii="Arial" w:hAnsi="Arial" w:cs="Arial"/>
          <w:sz w:val="22"/>
          <w:szCs w:val="22"/>
        </w:rPr>
      </w:pPr>
    </w:p>
    <w:p w:rsidR="00B9246A" w:rsidRPr="00C270DA" w:rsidRDefault="00B9246A" w:rsidP="00B9246A">
      <w:pPr>
        <w:pStyle w:val="PlainText"/>
        <w:rPr>
          <w:rFonts w:ascii="Arial" w:hAnsi="Arial" w:cs="Arial"/>
          <w:sz w:val="22"/>
          <w:szCs w:val="22"/>
        </w:rPr>
      </w:pPr>
      <w:r w:rsidRPr="00C270DA">
        <w:rPr>
          <w:rFonts w:ascii="Arial" w:hAnsi="Arial" w:cs="Arial"/>
          <w:b/>
          <w:sz w:val="22"/>
          <w:szCs w:val="22"/>
        </w:rPr>
        <w:t xml:space="preserve">Application Process: </w:t>
      </w:r>
      <w:r w:rsidRPr="00C270DA">
        <w:rPr>
          <w:rFonts w:ascii="Arial" w:hAnsi="Arial" w:cs="Arial"/>
          <w:sz w:val="22"/>
          <w:szCs w:val="22"/>
        </w:rPr>
        <w:t xml:space="preserve">Applicants must access CJD’s grant management website at </w:t>
      </w:r>
      <w:hyperlink r:id="rId9" w:history="1">
        <w:r w:rsidRPr="00406BE1">
          <w:rPr>
            <w:rStyle w:val="Hyperlink"/>
            <w:rFonts w:ascii="Arial" w:hAnsi="Arial" w:cs="Arial"/>
            <w:sz w:val="22"/>
            <w:szCs w:val="22"/>
          </w:rPr>
          <w:t>https://eGrants.governor.state.tx.us</w:t>
        </w:r>
      </w:hyperlink>
      <w:r w:rsidRPr="00C270DA">
        <w:rPr>
          <w:rFonts w:ascii="Arial" w:hAnsi="Arial" w:cs="Arial"/>
          <w:sz w:val="22"/>
          <w:szCs w:val="22"/>
        </w:rPr>
        <w:t xml:space="preserve"> to register and apply for funding.</w:t>
      </w:r>
    </w:p>
    <w:p w:rsidR="00B9246A" w:rsidRPr="00C270DA" w:rsidRDefault="00B9246A" w:rsidP="00B9246A">
      <w:pPr>
        <w:pStyle w:val="PlainText"/>
        <w:rPr>
          <w:rFonts w:ascii="Arial" w:hAnsi="Arial" w:cs="Arial"/>
          <w:sz w:val="22"/>
          <w:szCs w:val="22"/>
        </w:rPr>
      </w:pPr>
    </w:p>
    <w:p w:rsidR="00B9246A" w:rsidRDefault="00B9246A" w:rsidP="00B9246A">
      <w:pPr>
        <w:pStyle w:val="PlainText"/>
        <w:rPr>
          <w:rFonts w:ascii="Arial" w:hAnsi="Arial" w:cs="Arial"/>
          <w:sz w:val="22"/>
          <w:szCs w:val="22"/>
        </w:rPr>
      </w:pPr>
      <w:r w:rsidRPr="00C270DA">
        <w:rPr>
          <w:rFonts w:ascii="Arial" w:hAnsi="Arial" w:cs="Arial"/>
          <w:b/>
          <w:sz w:val="22"/>
          <w:szCs w:val="22"/>
        </w:rPr>
        <w:t>Preferences:</w:t>
      </w:r>
      <w:r w:rsidRPr="00C270DA">
        <w:rPr>
          <w:rFonts w:ascii="Arial" w:hAnsi="Arial" w:cs="Arial"/>
          <w:sz w:val="22"/>
          <w:szCs w:val="22"/>
        </w:rPr>
        <w:t xml:space="preserve"> Preference will be given to mandated </w:t>
      </w:r>
      <w:r>
        <w:rPr>
          <w:rFonts w:ascii="Arial" w:hAnsi="Arial" w:cs="Arial"/>
          <w:sz w:val="22"/>
          <w:szCs w:val="22"/>
        </w:rPr>
        <w:t>prostitution prevention programs</w:t>
      </w:r>
      <w:r w:rsidRPr="00C270DA">
        <w:rPr>
          <w:rFonts w:ascii="Arial" w:hAnsi="Arial" w:cs="Arial"/>
          <w:sz w:val="22"/>
          <w:szCs w:val="22"/>
        </w:rPr>
        <w:t xml:space="preserve"> under Texas Health and Safety Code, Section </w:t>
      </w:r>
      <w:r>
        <w:rPr>
          <w:rFonts w:ascii="Arial" w:hAnsi="Arial" w:cs="Arial"/>
          <w:sz w:val="22"/>
          <w:szCs w:val="22"/>
        </w:rPr>
        <w:t>169A.00</w:t>
      </w:r>
      <w:r w:rsidR="0074303B">
        <w:rPr>
          <w:rFonts w:ascii="Arial" w:hAnsi="Arial" w:cs="Arial"/>
          <w:sz w:val="22"/>
          <w:szCs w:val="22"/>
        </w:rPr>
        <w:t>5</w:t>
      </w:r>
      <w:r>
        <w:rPr>
          <w:rFonts w:ascii="Arial" w:hAnsi="Arial" w:cs="Arial"/>
          <w:sz w:val="22"/>
          <w:szCs w:val="22"/>
        </w:rPr>
        <w:t>5</w:t>
      </w:r>
      <w:r w:rsidRPr="00C270DA">
        <w:rPr>
          <w:rFonts w:ascii="Arial" w:hAnsi="Arial" w:cs="Arial"/>
          <w:sz w:val="22"/>
          <w:szCs w:val="22"/>
        </w:rPr>
        <w:t>.</w:t>
      </w:r>
    </w:p>
    <w:p w:rsidR="00B9246A" w:rsidRDefault="00B9246A" w:rsidP="00B9246A">
      <w:pPr>
        <w:pStyle w:val="PlainText"/>
        <w:rPr>
          <w:rFonts w:ascii="Arial" w:hAnsi="Arial" w:cs="Arial"/>
          <w:sz w:val="22"/>
          <w:szCs w:val="22"/>
        </w:rPr>
      </w:pPr>
    </w:p>
    <w:p w:rsidR="00B9246A" w:rsidRPr="00C270DA" w:rsidRDefault="00B9246A" w:rsidP="00B9246A">
      <w:pPr>
        <w:rPr>
          <w:rFonts w:ascii="Arial" w:hAnsi="Arial" w:cs="Arial"/>
          <w:strike/>
          <w:sz w:val="22"/>
          <w:szCs w:val="22"/>
        </w:rPr>
      </w:pPr>
      <w:r w:rsidRPr="00C270DA">
        <w:rPr>
          <w:rFonts w:ascii="Arial" w:hAnsi="Arial" w:cs="Arial"/>
          <w:b/>
          <w:sz w:val="22"/>
          <w:szCs w:val="22"/>
        </w:rPr>
        <w:t>Closing Date for Receipt of Applications:</w:t>
      </w:r>
      <w:r w:rsidRPr="00C270DA">
        <w:rPr>
          <w:rFonts w:ascii="Arial" w:hAnsi="Arial" w:cs="Arial"/>
          <w:sz w:val="22"/>
          <w:szCs w:val="22"/>
        </w:rPr>
        <w:t xml:space="preserve"> All applications must be submitted via CJD’s </w:t>
      </w:r>
      <w:proofErr w:type="spellStart"/>
      <w:r w:rsidRPr="00C270DA">
        <w:rPr>
          <w:rFonts w:ascii="Arial" w:hAnsi="Arial" w:cs="Arial"/>
          <w:sz w:val="22"/>
          <w:szCs w:val="22"/>
        </w:rPr>
        <w:t>eGrants</w:t>
      </w:r>
      <w:proofErr w:type="spellEnd"/>
      <w:r w:rsidRPr="00C270DA">
        <w:rPr>
          <w:rFonts w:ascii="Arial" w:hAnsi="Arial" w:cs="Arial"/>
          <w:sz w:val="22"/>
          <w:szCs w:val="22"/>
        </w:rPr>
        <w:t xml:space="preserve"> website on or before </w:t>
      </w:r>
      <w:r w:rsidR="00B64359">
        <w:rPr>
          <w:rFonts w:ascii="Arial" w:hAnsi="Arial" w:cs="Arial"/>
          <w:sz w:val="22"/>
          <w:szCs w:val="22"/>
        </w:rPr>
        <w:t xml:space="preserve">February 28, 2014. </w:t>
      </w:r>
    </w:p>
    <w:p w:rsidR="00B9246A" w:rsidRDefault="00B9246A" w:rsidP="00B9246A">
      <w:pPr>
        <w:pStyle w:val="PlainText"/>
        <w:rPr>
          <w:rFonts w:ascii="Arial" w:hAnsi="Arial" w:cs="Arial"/>
          <w:sz w:val="22"/>
          <w:szCs w:val="22"/>
        </w:rPr>
      </w:pPr>
    </w:p>
    <w:p w:rsidR="00B9246A" w:rsidRPr="00C270DA" w:rsidRDefault="00B9246A" w:rsidP="00B9246A">
      <w:pPr>
        <w:pStyle w:val="PlainText"/>
        <w:rPr>
          <w:rFonts w:ascii="Arial" w:hAnsi="Arial" w:cs="Arial"/>
          <w:sz w:val="22"/>
          <w:szCs w:val="22"/>
        </w:rPr>
      </w:pPr>
      <w:r w:rsidRPr="00C270DA">
        <w:rPr>
          <w:rFonts w:ascii="Arial" w:hAnsi="Arial" w:cs="Arial"/>
          <w:b/>
          <w:sz w:val="22"/>
          <w:szCs w:val="22"/>
        </w:rPr>
        <w:t>Selection Process:</w:t>
      </w:r>
      <w:r w:rsidRPr="00C270DA">
        <w:rPr>
          <w:rFonts w:ascii="Arial" w:hAnsi="Arial" w:cs="Arial"/>
          <w:sz w:val="22"/>
          <w:szCs w:val="22"/>
        </w:rPr>
        <w:t xml:space="preserve"> Applications will be reviewed and prioritized by the Specialty Courts Advisory Council (Council) who will make funding recommendations to CJD.  CJD will make all final funding decisions based on eligibility, Council recommendations, reasonableness, availability of funding, and cost-effectiveness.</w:t>
      </w:r>
    </w:p>
    <w:p w:rsidR="008268D9" w:rsidRDefault="00B9246A" w:rsidP="00B14D12">
      <w:pPr>
        <w:pStyle w:val="PlainText"/>
      </w:pPr>
      <w:r w:rsidRPr="00C270DA">
        <w:rPr>
          <w:rFonts w:ascii="Arial" w:hAnsi="Arial" w:cs="Arial"/>
          <w:b/>
          <w:sz w:val="22"/>
          <w:szCs w:val="22"/>
        </w:rPr>
        <w:lastRenderedPageBreak/>
        <w:t>Contact Person</w:t>
      </w:r>
      <w:r w:rsidRPr="00C270DA">
        <w:rPr>
          <w:rFonts w:ascii="Arial" w:hAnsi="Arial" w:cs="Arial"/>
          <w:sz w:val="22"/>
          <w:szCs w:val="22"/>
        </w:rPr>
        <w:t xml:space="preserve">: If additional information is needed, contact the </w:t>
      </w:r>
      <w:proofErr w:type="spellStart"/>
      <w:r w:rsidRPr="00C270DA">
        <w:rPr>
          <w:rFonts w:ascii="Arial" w:hAnsi="Arial" w:cs="Arial"/>
          <w:sz w:val="22"/>
          <w:szCs w:val="22"/>
        </w:rPr>
        <w:t>eGrants</w:t>
      </w:r>
      <w:proofErr w:type="spellEnd"/>
      <w:r w:rsidRPr="00C270DA">
        <w:rPr>
          <w:rFonts w:ascii="Arial" w:hAnsi="Arial" w:cs="Arial"/>
          <w:sz w:val="22"/>
          <w:szCs w:val="22"/>
        </w:rPr>
        <w:t xml:space="preserve"> </w:t>
      </w:r>
      <w:r>
        <w:rPr>
          <w:rFonts w:ascii="Arial" w:hAnsi="Arial" w:cs="Arial"/>
          <w:sz w:val="22"/>
          <w:szCs w:val="22"/>
        </w:rPr>
        <w:t>h</w:t>
      </w:r>
      <w:r w:rsidRPr="00C270DA">
        <w:rPr>
          <w:rFonts w:ascii="Arial" w:hAnsi="Arial" w:cs="Arial"/>
          <w:sz w:val="22"/>
          <w:szCs w:val="22"/>
        </w:rPr>
        <w:t xml:space="preserve">elp </w:t>
      </w:r>
      <w:r>
        <w:rPr>
          <w:rFonts w:ascii="Arial" w:hAnsi="Arial" w:cs="Arial"/>
          <w:sz w:val="22"/>
          <w:szCs w:val="22"/>
        </w:rPr>
        <w:t>d</w:t>
      </w:r>
      <w:r w:rsidRPr="00C270DA">
        <w:rPr>
          <w:rFonts w:ascii="Arial" w:hAnsi="Arial" w:cs="Arial"/>
          <w:sz w:val="22"/>
          <w:szCs w:val="22"/>
        </w:rPr>
        <w:t xml:space="preserve">esk at </w:t>
      </w:r>
      <w:hyperlink r:id="rId10" w:history="1">
        <w:r w:rsidRPr="00406BE1">
          <w:rPr>
            <w:rStyle w:val="Hyperlink"/>
            <w:rFonts w:ascii="Arial" w:hAnsi="Arial" w:cs="Arial"/>
            <w:sz w:val="22"/>
            <w:szCs w:val="22"/>
          </w:rPr>
          <w:t>eGrants@governor.state.tx.us</w:t>
        </w:r>
      </w:hyperlink>
      <w:r w:rsidRPr="00C270DA">
        <w:rPr>
          <w:rFonts w:ascii="Arial" w:hAnsi="Arial" w:cs="Arial"/>
          <w:sz w:val="22"/>
          <w:szCs w:val="22"/>
        </w:rPr>
        <w:t xml:space="preserve"> or (512) 463-1919.</w:t>
      </w:r>
    </w:p>
    <w:sectPr w:rsidR="008268D9" w:rsidSect="008268D9">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CE1" w:rsidRDefault="00F70CE1" w:rsidP="005B51CB">
      <w:r>
        <w:separator/>
      </w:r>
    </w:p>
  </w:endnote>
  <w:endnote w:type="continuationSeparator" w:id="0">
    <w:p w:rsidR="00F70CE1" w:rsidRDefault="00F70CE1" w:rsidP="005B51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CE1" w:rsidRDefault="00F70CE1" w:rsidP="005B51CB">
      <w:r>
        <w:separator/>
      </w:r>
    </w:p>
  </w:footnote>
  <w:footnote w:type="continuationSeparator" w:id="0">
    <w:p w:rsidR="00F70CE1" w:rsidRDefault="00F70CE1" w:rsidP="005B5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CB" w:rsidRDefault="005B51CB" w:rsidP="005B51CB">
    <w:pPr>
      <w:pStyle w:val="ListParagraph"/>
      <w:spacing w:after="0" w:line="240" w:lineRule="auto"/>
      <w:jc w:val="center"/>
      <w:rPr>
        <w:rFonts w:ascii="Arial" w:hAnsi="Arial" w:cs="Arial"/>
        <w:sz w:val="24"/>
        <w:szCs w:val="24"/>
      </w:rPr>
    </w:pPr>
    <w:r>
      <w:rPr>
        <w:rFonts w:ascii="Arial" w:hAnsi="Arial" w:cs="Arial"/>
        <w:sz w:val="24"/>
        <w:szCs w:val="24"/>
      </w:rPr>
      <w:t>Request for Applications – Prostitution Prevention Programs</w:t>
    </w:r>
  </w:p>
  <w:p w:rsidR="005B51CB" w:rsidRDefault="005B51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97E42"/>
    <w:multiLevelType w:val="hybridMultilevel"/>
    <w:tmpl w:val="E54C24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CF58D8"/>
    <w:multiLevelType w:val="hybridMultilevel"/>
    <w:tmpl w:val="1E4A615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EEA2D67"/>
    <w:multiLevelType w:val="hybridMultilevel"/>
    <w:tmpl w:val="1A102C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FE41342"/>
    <w:multiLevelType w:val="hybridMultilevel"/>
    <w:tmpl w:val="04628B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B9246A"/>
    <w:rsid w:val="000D1F6D"/>
    <w:rsid w:val="000D4A1C"/>
    <w:rsid w:val="0011468C"/>
    <w:rsid w:val="00456237"/>
    <w:rsid w:val="00467B1D"/>
    <w:rsid w:val="004D6A70"/>
    <w:rsid w:val="00515087"/>
    <w:rsid w:val="005B51CB"/>
    <w:rsid w:val="00602C1B"/>
    <w:rsid w:val="0074303B"/>
    <w:rsid w:val="007B4810"/>
    <w:rsid w:val="008268D9"/>
    <w:rsid w:val="009F56DA"/>
    <w:rsid w:val="00B14D12"/>
    <w:rsid w:val="00B64359"/>
    <w:rsid w:val="00B9246A"/>
    <w:rsid w:val="00C94194"/>
    <w:rsid w:val="00D830FB"/>
    <w:rsid w:val="00F52824"/>
    <w:rsid w:val="00F70CE1"/>
    <w:rsid w:val="00FB0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46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9246A"/>
    <w:rPr>
      <w:rFonts w:ascii="Courier New" w:hAnsi="Courier New" w:cs="Courier New"/>
      <w:sz w:val="20"/>
      <w:szCs w:val="20"/>
    </w:rPr>
  </w:style>
  <w:style w:type="character" w:customStyle="1" w:styleId="PlainTextChar">
    <w:name w:val="Plain Text Char"/>
    <w:link w:val="PlainText"/>
    <w:rsid w:val="00B9246A"/>
    <w:rPr>
      <w:rFonts w:ascii="Courier New" w:eastAsia="Times New Roman" w:hAnsi="Courier New" w:cs="Courier New"/>
      <w:sz w:val="20"/>
      <w:szCs w:val="20"/>
    </w:rPr>
  </w:style>
  <w:style w:type="character" w:styleId="Hyperlink">
    <w:name w:val="Hyperlink"/>
    <w:rsid w:val="00B9246A"/>
    <w:rPr>
      <w:color w:val="0000FF"/>
      <w:u w:val="single"/>
    </w:rPr>
  </w:style>
  <w:style w:type="paragraph" w:styleId="ListParagraph">
    <w:name w:val="List Paragraph"/>
    <w:basedOn w:val="Normal"/>
    <w:uiPriority w:val="34"/>
    <w:qFormat/>
    <w:rsid w:val="00B9246A"/>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14D12"/>
    <w:rPr>
      <w:rFonts w:ascii="Segoe UI" w:hAnsi="Segoe UI" w:cs="Segoe UI"/>
      <w:sz w:val="18"/>
      <w:szCs w:val="18"/>
    </w:rPr>
  </w:style>
  <w:style w:type="character" w:customStyle="1" w:styleId="BalloonTextChar">
    <w:name w:val="Balloon Text Char"/>
    <w:link w:val="BalloonText"/>
    <w:uiPriority w:val="99"/>
    <w:semiHidden/>
    <w:rsid w:val="00B14D12"/>
    <w:rPr>
      <w:rFonts w:ascii="Segoe UI" w:eastAsia="Times New Roman" w:hAnsi="Segoe UI" w:cs="Segoe UI"/>
      <w:sz w:val="18"/>
      <w:szCs w:val="18"/>
    </w:rPr>
  </w:style>
  <w:style w:type="paragraph" w:styleId="Header">
    <w:name w:val="header"/>
    <w:basedOn w:val="Normal"/>
    <w:link w:val="HeaderChar"/>
    <w:uiPriority w:val="99"/>
    <w:unhideWhenUsed/>
    <w:rsid w:val="005B51CB"/>
    <w:pPr>
      <w:tabs>
        <w:tab w:val="center" w:pos="4680"/>
        <w:tab w:val="right" w:pos="9360"/>
      </w:tabs>
    </w:pPr>
  </w:style>
  <w:style w:type="character" w:customStyle="1" w:styleId="HeaderChar">
    <w:name w:val="Header Char"/>
    <w:link w:val="Header"/>
    <w:uiPriority w:val="99"/>
    <w:rsid w:val="005B51CB"/>
    <w:rPr>
      <w:rFonts w:ascii="Times New Roman" w:eastAsia="Times New Roman" w:hAnsi="Times New Roman"/>
      <w:sz w:val="24"/>
      <w:szCs w:val="24"/>
    </w:rPr>
  </w:style>
  <w:style w:type="paragraph" w:styleId="Footer">
    <w:name w:val="footer"/>
    <w:basedOn w:val="Normal"/>
    <w:link w:val="FooterChar"/>
    <w:uiPriority w:val="99"/>
    <w:unhideWhenUsed/>
    <w:rsid w:val="005B51CB"/>
    <w:pPr>
      <w:tabs>
        <w:tab w:val="center" w:pos="4680"/>
        <w:tab w:val="right" w:pos="9360"/>
      </w:tabs>
    </w:pPr>
  </w:style>
  <w:style w:type="character" w:customStyle="1" w:styleId="FooterChar">
    <w:name w:val="Footer Char"/>
    <w:link w:val="Footer"/>
    <w:uiPriority w:val="99"/>
    <w:rsid w:val="005B51C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06780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portal/public/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edgov.dnb.com/webform/displayHomePage.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Grants@governor.state.tx.us" TargetMode="External"/><Relationship Id="rId4" Type="http://schemas.openxmlformats.org/officeDocument/2006/relationships/webSettings" Target="webSettings.xml"/><Relationship Id="rId9" Type="http://schemas.openxmlformats.org/officeDocument/2006/relationships/hyperlink" Target="https://eGrants.governor.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5336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OOG</Company>
  <LinksUpToDate>false</LinksUpToDate>
  <CharactersWithSpaces>6259</CharactersWithSpaces>
  <SharedDoc>false</SharedDoc>
  <HLinks>
    <vt:vector size="24" baseType="variant">
      <vt:variant>
        <vt:i4>6881347</vt:i4>
      </vt:variant>
      <vt:variant>
        <vt:i4>9</vt:i4>
      </vt:variant>
      <vt:variant>
        <vt:i4>0</vt:i4>
      </vt:variant>
      <vt:variant>
        <vt:i4>5</vt:i4>
      </vt:variant>
      <vt:variant>
        <vt:lpwstr>mailto:eGrants@governor.state.tx.us</vt:lpwstr>
      </vt:variant>
      <vt:variant>
        <vt:lpwstr/>
      </vt:variant>
      <vt:variant>
        <vt:i4>327755</vt:i4>
      </vt:variant>
      <vt:variant>
        <vt:i4>6</vt:i4>
      </vt:variant>
      <vt:variant>
        <vt:i4>0</vt:i4>
      </vt:variant>
      <vt:variant>
        <vt:i4>5</vt:i4>
      </vt:variant>
      <vt:variant>
        <vt:lpwstr>https://egrants.governor.state.tx.us/</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1900554</vt:i4>
      </vt:variant>
      <vt:variant>
        <vt:i4>0</vt:i4>
      </vt:variant>
      <vt:variant>
        <vt:i4>0</vt:i4>
      </vt:variant>
      <vt:variant>
        <vt:i4>5</vt:i4>
      </vt:variant>
      <vt:variant>
        <vt:lpwstr>http://fedgov.dnb.com/webform/displayHomePage.do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anissa.johnson</dc:creator>
  <cp:lastModifiedBy>Rudy Perez</cp:lastModifiedBy>
  <cp:revision>2</cp:revision>
  <cp:lastPrinted>2013-11-22T19:54:00Z</cp:lastPrinted>
  <dcterms:created xsi:type="dcterms:W3CDTF">2013-12-26T19:45:00Z</dcterms:created>
  <dcterms:modified xsi:type="dcterms:W3CDTF">2013-12-26T19:45:00Z</dcterms:modified>
</cp:coreProperties>
</file>