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2A2" w:rsidRDefault="00A912A2" w:rsidP="00A912A2">
      <w:pPr>
        <w:jc w:val="both"/>
      </w:pPr>
      <w:r>
        <w:t>Kurt.  The City dollars that are at risk is the $1.3 million loan to F &amp; C, since it is paid from annual cash flow from the project and sale proceeds.  To protect the City in the event that cash flow was not sufficient (or sale proceeds), we put in 2 layers:</w:t>
      </w:r>
    </w:p>
    <w:p w:rsidR="00A912A2" w:rsidRDefault="00A912A2" w:rsidP="00A912A2">
      <w:pPr>
        <w:jc w:val="both"/>
      </w:pPr>
    </w:p>
    <w:p w:rsidR="00A912A2" w:rsidRDefault="00A912A2" w:rsidP="00A912A2">
      <w:pPr>
        <w:pStyle w:val="ListParagraph"/>
        <w:numPr>
          <w:ilvl w:val="0"/>
          <w:numId w:val="1"/>
        </w:numPr>
        <w:jc w:val="both"/>
      </w:pPr>
      <w:r>
        <w:t> Corporate guarantee from F &amp; C Construction</w:t>
      </w:r>
    </w:p>
    <w:p w:rsidR="00A912A2" w:rsidRDefault="00A912A2" w:rsidP="00A912A2">
      <w:pPr>
        <w:pStyle w:val="ListParagraph"/>
        <w:numPr>
          <w:ilvl w:val="0"/>
          <w:numId w:val="1"/>
        </w:numPr>
        <w:jc w:val="both"/>
      </w:pPr>
      <w:r>
        <w:t xml:space="preserve">Will be setting up an </w:t>
      </w:r>
      <w:proofErr w:type="spellStart"/>
      <w:r>
        <w:t>interfund</w:t>
      </w:r>
      <w:proofErr w:type="spellEnd"/>
      <w:r>
        <w:t xml:space="preserve"> loan from TIF district #1 to TIF district #14 (new COR district) </w:t>
      </w:r>
    </w:p>
    <w:p w:rsidR="00A912A2" w:rsidRDefault="00A912A2" w:rsidP="00A912A2">
      <w:pPr>
        <w:jc w:val="both"/>
      </w:pPr>
    </w:p>
    <w:p w:rsidR="00A912A2" w:rsidRDefault="00A912A2" w:rsidP="00A912A2">
      <w:pPr>
        <w:jc w:val="both"/>
      </w:pPr>
      <w:r>
        <w:t xml:space="preserve">The latter item was put in place and to be utilized if for whatever reason the City was unable to collect on the corporate guarantee.  </w:t>
      </w:r>
    </w:p>
    <w:p w:rsidR="00A912A2" w:rsidRDefault="00A912A2" w:rsidP="00A912A2">
      <w:pPr>
        <w:jc w:val="both"/>
      </w:pPr>
    </w:p>
    <w:p w:rsidR="00A912A2" w:rsidRDefault="00A912A2" w:rsidP="00A912A2">
      <w:pPr>
        <w:jc w:val="both"/>
      </w:pPr>
      <w:r>
        <w:t xml:space="preserve">Our risk review of the project was for performance on the corporate guarantee, hence F &amp; C Construction, not on F &amp; C Development.   For review of the construction company, we reviewed the last 2 years of audited financials and found no issues/concerns or lack of liquidity to pay the HRA loan, even in light of the economic environment in those years.  They have unrestricted cash balances from 2009 that could be utilized for unforeseen issues and are expected to have cash balances at the end of 2010 (they will forward audited financials when completed).  </w:t>
      </w:r>
    </w:p>
    <w:p w:rsidR="00A912A2" w:rsidRDefault="00A912A2" w:rsidP="00A912A2">
      <w:pPr>
        <w:jc w:val="both"/>
      </w:pPr>
    </w:p>
    <w:p w:rsidR="00A912A2" w:rsidRDefault="00A912A2" w:rsidP="00A912A2">
      <w:pPr>
        <w:jc w:val="both"/>
      </w:pPr>
      <w:r>
        <w:t>We requested a D &amp; B report to further check to see if there were payment or performance issues that we would not see in the financials and to see their ranking for likelihood of not being able to pay or have financial stress in the next 12 months.  D &amp; B is not the primary source of our credit analysis, only a cross reference.  According to the D &amp; B report, the likelihood of both was low.</w:t>
      </w:r>
    </w:p>
    <w:p w:rsidR="00A912A2" w:rsidRDefault="00A912A2" w:rsidP="00A912A2">
      <w:pPr>
        <w:jc w:val="both"/>
      </w:pPr>
    </w:p>
    <w:p w:rsidR="00A912A2" w:rsidRDefault="00A912A2" w:rsidP="00A912A2">
      <w:pPr>
        <w:jc w:val="both"/>
      </w:pPr>
      <w:r>
        <w:t>The protection for the City with regards to F &amp; C Development is that the City/HRA does not need to close on the land, provide the loan, etc. until F &amp; C provides proof of financing for 65% of the project.  Their current bankruptcy issue in NC may or may not be a factor to lenders in order for F &amp; C to secure financing, depends upon many factors (i.e. if all parties were made whole or not, was the debt recourse or not, etc.).</w:t>
      </w:r>
    </w:p>
    <w:p w:rsidR="00A912A2" w:rsidRDefault="00A912A2" w:rsidP="00A912A2">
      <w:pPr>
        <w:jc w:val="both"/>
      </w:pPr>
    </w:p>
    <w:p w:rsidR="00A912A2" w:rsidRDefault="00A912A2" w:rsidP="00A912A2">
      <w:pPr>
        <w:jc w:val="both"/>
      </w:pPr>
      <w:r>
        <w:t>Please call with any questions.</w:t>
      </w:r>
    </w:p>
    <w:p w:rsidR="00A912A2" w:rsidRDefault="00A912A2" w:rsidP="00A912A2"/>
    <w:p w:rsidR="00A912A2" w:rsidRDefault="00A912A2" w:rsidP="00A912A2"/>
    <w:p w:rsidR="00A912A2" w:rsidRDefault="00A912A2" w:rsidP="00A912A2">
      <w:r>
        <w:t>Stacie Kvilvang</w:t>
      </w:r>
    </w:p>
    <w:p w:rsidR="00A912A2" w:rsidRDefault="00A912A2" w:rsidP="00A912A2">
      <w:r>
        <w:t xml:space="preserve">Ehlers </w:t>
      </w:r>
    </w:p>
    <w:p w:rsidR="00A912A2" w:rsidRDefault="00A912A2" w:rsidP="00A912A2">
      <w:r>
        <w:t>3060 Centre Pointe Drive</w:t>
      </w:r>
    </w:p>
    <w:p w:rsidR="00A912A2" w:rsidRDefault="00A912A2" w:rsidP="00A912A2">
      <w:r>
        <w:t>Roseville, MN  55113</w:t>
      </w:r>
    </w:p>
    <w:p w:rsidR="00A912A2" w:rsidRDefault="00A912A2" w:rsidP="00A912A2">
      <w:r>
        <w:t xml:space="preserve">Direct 651-697-8506 </w:t>
      </w:r>
    </w:p>
    <w:p w:rsidR="00A912A2" w:rsidRDefault="00A912A2" w:rsidP="00A912A2">
      <w:r>
        <w:t xml:space="preserve">Fax 651-697-8555 </w:t>
      </w:r>
    </w:p>
    <w:p w:rsidR="00A912A2" w:rsidRDefault="00A912A2" w:rsidP="00A912A2">
      <w:pPr>
        <w:spacing w:before="100" w:beforeAutospacing="1" w:after="100" w:afterAutospacing="1"/>
        <w:rPr>
          <w:rFonts w:ascii="Times New Roman" w:hAnsi="Times New Roman"/>
          <w:sz w:val="24"/>
          <w:szCs w:val="24"/>
        </w:rPr>
      </w:pPr>
      <w:hyperlink r:id="rId5" w:history="1">
        <w:r>
          <w:rPr>
            <w:rStyle w:val="Hyperlink"/>
            <w:rFonts w:ascii="Arial" w:hAnsi="Arial" w:cs="Arial"/>
            <w:sz w:val="20"/>
            <w:szCs w:val="20"/>
          </w:rPr>
          <w:t>www.ehlers-inc.com</w:t>
        </w:r>
      </w:hyperlink>
    </w:p>
    <w:p w:rsidR="00A912A2" w:rsidRDefault="00A912A2" w:rsidP="00A912A2">
      <w:pPr>
        <w:spacing w:before="100" w:beforeAutospacing="1" w:after="100" w:afterAutospacing="1"/>
        <w:rPr>
          <w:rFonts w:ascii="Times New Roman" w:hAnsi="Times New Roman"/>
          <w:sz w:val="24"/>
          <w:szCs w:val="24"/>
        </w:rPr>
      </w:pPr>
      <w:r>
        <w:rPr>
          <w:rFonts w:ascii="Times New Roman" w:hAnsi="Times New Roman"/>
          <w:noProof/>
          <w:sz w:val="24"/>
          <w:szCs w:val="24"/>
        </w:rPr>
        <w:drawing>
          <wp:inline distT="0" distB="0" distL="0" distR="0">
            <wp:extent cx="1666875" cy="447675"/>
            <wp:effectExtent l="19050" t="0" r="9525" b="0"/>
            <wp:docPr id="1" name="Picture 1" descr="Description: Eh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hlers Logo"/>
                    <pic:cNvPicPr>
                      <a:picLocks noChangeAspect="1" noChangeArrowheads="1"/>
                    </pic:cNvPicPr>
                  </pic:nvPicPr>
                  <pic:blipFill>
                    <a:blip r:embed="rId6" r:link="rId7" cstate="print"/>
                    <a:srcRect/>
                    <a:stretch>
                      <a:fillRect/>
                    </a:stretch>
                  </pic:blipFill>
                  <pic:spPr bwMode="auto">
                    <a:xfrm>
                      <a:off x="0" y="0"/>
                      <a:ext cx="1666875" cy="447675"/>
                    </a:xfrm>
                    <a:prstGeom prst="rect">
                      <a:avLst/>
                    </a:prstGeom>
                    <a:noFill/>
                    <a:ln w="9525">
                      <a:noFill/>
                      <a:miter lim="800000"/>
                      <a:headEnd/>
                      <a:tailEnd/>
                    </a:ln>
                  </pic:spPr>
                </pic:pic>
              </a:graphicData>
            </a:graphic>
          </wp:inline>
        </w:drawing>
      </w:r>
    </w:p>
    <w:p w:rsidR="00A912A2" w:rsidRDefault="00A912A2" w:rsidP="00A912A2"/>
    <w:p w:rsidR="00A912A2" w:rsidRDefault="00A912A2" w:rsidP="00A912A2">
      <w:pPr>
        <w:rPr>
          <w:rFonts w:ascii="Times New Roman" w:eastAsia="Times New Roman" w:hAnsi="Times New Roman"/>
          <w:sz w:val="24"/>
          <w:szCs w:val="24"/>
        </w:rPr>
      </w:pPr>
      <w:r>
        <w:rPr>
          <w:rFonts w:ascii="Times New Roman" w:eastAsia="Times New Roman" w:hAnsi="Times New Roman"/>
          <w:sz w:val="24"/>
          <w:szCs w:val="24"/>
        </w:rPr>
        <w:br/>
        <w:t>This e-mail and any attachments may contain information which is</w:t>
      </w:r>
      <w:r>
        <w:rPr>
          <w:rFonts w:ascii="Times New Roman" w:eastAsia="Times New Roman" w:hAnsi="Times New Roman"/>
          <w:sz w:val="24"/>
          <w:szCs w:val="24"/>
        </w:rPr>
        <w:br/>
        <w:t>privileged or confidential. If you are not the intended recipient, note</w:t>
      </w:r>
      <w:r>
        <w:rPr>
          <w:rFonts w:ascii="Times New Roman" w:eastAsia="Times New Roman" w:hAnsi="Times New Roman"/>
          <w:sz w:val="24"/>
          <w:szCs w:val="24"/>
        </w:rPr>
        <w:br/>
      </w:r>
      <w:r>
        <w:rPr>
          <w:rFonts w:ascii="Times New Roman" w:eastAsia="Times New Roman" w:hAnsi="Times New Roman"/>
          <w:sz w:val="24"/>
          <w:szCs w:val="24"/>
        </w:rPr>
        <w:lastRenderedPageBreak/>
        <w:t>that any disclosure, copying, distribution or use of the contents of this</w:t>
      </w:r>
      <w:r>
        <w:rPr>
          <w:rFonts w:ascii="Times New Roman" w:eastAsia="Times New Roman" w:hAnsi="Times New Roman"/>
          <w:sz w:val="24"/>
          <w:szCs w:val="24"/>
        </w:rPr>
        <w:br/>
        <w:t>message is prohibited. If you have received this e-mail in error, please</w:t>
      </w:r>
      <w:r>
        <w:rPr>
          <w:rFonts w:ascii="Times New Roman" w:eastAsia="Times New Roman" w:hAnsi="Times New Roman"/>
          <w:sz w:val="24"/>
          <w:szCs w:val="24"/>
        </w:rPr>
        <w:br/>
        <w:t>destroy it and notify us immediately by return e-mail or at our telephone</w:t>
      </w:r>
      <w:r>
        <w:rPr>
          <w:rFonts w:ascii="Times New Roman" w:eastAsia="Times New Roman" w:hAnsi="Times New Roman"/>
          <w:sz w:val="24"/>
          <w:szCs w:val="24"/>
        </w:rPr>
        <w:br/>
        <w:t>number, 651-697-8500. Any views or opinions presented in this e-mail are</w:t>
      </w:r>
      <w:r>
        <w:rPr>
          <w:rFonts w:ascii="Times New Roman" w:eastAsia="Times New Roman" w:hAnsi="Times New Roman"/>
          <w:sz w:val="24"/>
          <w:szCs w:val="24"/>
        </w:rPr>
        <w:br/>
        <w:t>solely those of the author and may not represent the views or opinions of</w:t>
      </w:r>
      <w:r>
        <w:rPr>
          <w:rFonts w:ascii="Times New Roman" w:eastAsia="Times New Roman" w:hAnsi="Times New Roman"/>
          <w:sz w:val="24"/>
          <w:szCs w:val="24"/>
        </w:rPr>
        <w:br/>
        <w:t>Ehlers and Associates, Inc.</w:t>
      </w:r>
      <w:r>
        <w:rPr>
          <w:rFonts w:ascii="Times New Roman" w:eastAsia="Times New Roman" w:hAnsi="Times New Roman"/>
          <w:sz w:val="24"/>
          <w:szCs w:val="24"/>
        </w:rPr>
        <w:br/>
      </w:r>
      <w:r>
        <w:rPr>
          <w:rFonts w:ascii="Times New Roman" w:eastAsia="Times New Roman" w:hAnsi="Times New Roman"/>
          <w:sz w:val="24"/>
          <w:szCs w:val="24"/>
        </w:rPr>
        <w:br/>
        <w:t>________________________________________________________________________</w:t>
      </w:r>
      <w:r>
        <w:rPr>
          <w:rFonts w:ascii="Times New Roman" w:eastAsia="Times New Roman" w:hAnsi="Times New Roman"/>
          <w:sz w:val="24"/>
          <w:szCs w:val="24"/>
        </w:rPr>
        <w:br/>
      </w:r>
      <w:proofErr w:type="gramStart"/>
      <w:r>
        <w:rPr>
          <w:rFonts w:ascii="Times New Roman" w:eastAsia="Times New Roman" w:hAnsi="Times New Roman"/>
          <w:sz w:val="24"/>
          <w:szCs w:val="24"/>
        </w:rPr>
        <w:t>This</w:t>
      </w:r>
      <w:proofErr w:type="gramEnd"/>
      <w:r>
        <w:rPr>
          <w:rFonts w:ascii="Times New Roman" w:eastAsia="Times New Roman" w:hAnsi="Times New Roman"/>
          <w:sz w:val="24"/>
          <w:szCs w:val="24"/>
        </w:rPr>
        <w:t xml:space="preserve"> email has been scanned for all viruses by the </w:t>
      </w:r>
      <w:proofErr w:type="spellStart"/>
      <w:r>
        <w:rPr>
          <w:rFonts w:ascii="Times New Roman" w:eastAsia="Times New Roman" w:hAnsi="Times New Roman"/>
          <w:sz w:val="24"/>
          <w:szCs w:val="24"/>
        </w:rPr>
        <w:t>MessageLabs</w:t>
      </w:r>
      <w:proofErr w:type="spellEnd"/>
      <w:r>
        <w:rPr>
          <w:rFonts w:ascii="Times New Roman" w:eastAsia="Times New Roman" w:hAnsi="Times New Roman"/>
          <w:sz w:val="24"/>
          <w:szCs w:val="24"/>
        </w:rPr>
        <w:t xml:space="preserve"> Email</w:t>
      </w:r>
      <w:r>
        <w:rPr>
          <w:rFonts w:ascii="Times New Roman" w:eastAsia="Times New Roman" w:hAnsi="Times New Roman"/>
          <w:sz w:val="24"/>
          <w:szCs w:val="24"/>
        </w:rPr>
        <w:br/>
        <w:t>Security System.</w:t>
      </w:r>
    </w:p>
    <w:p w:rsidR="00720A3E" w:rsidRDefault="00720A3E"/>
    <w:sectPr w:rsidR="00720A3E" w:rsidSect="00720A3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754D93"/>
    <w:multiLevelType w:val="hybridMultilevel"/>
    <w:tmpl w:val="0AA852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912A2"/>
    <w:rsid w:val="00720A3E"/>
    <w:rsid w:val="008B7335"/>
    <w:rsid w:val="00A912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2A2"/>
    <w:pPr>
      <w:spacing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912A2"/>
    <w:rPr>
      <w:color w:val="0000FF"/>
      <w:u w:val="single"/>
    </w:rPr>
  </w:style>
  <w:style w:type="paragraph" w:styleId="ListParagraph">
    <w:name w:val="List Paragraph"/>
    <w:basedOn w:val="Normal"/>
    <w:uiPriority w:val="34"/>
    <w:qFormat/>
    <w:rsid w:val="00A912A2"/>
    <w:pPr>
      <w:ind w:left="720"/>
    </w:pPr>
  </w:style>
  <w:style w:type="paragraph" w:styleId="BalloonText">
    <w:name w:val="Balloon Text"/>
    <w:basedOn w:val="Normal"/>
    <w:link w:val="BalloonTextChar"/>
    <w:uiPriority w:val="99"/>
    <w:semiHidden/>
    <w:unhideWhenUsed/>
    <w:rsid w:val="00A912A2"/>
    <w:rPr>
      <w:rFonts w:ascii="Tahoma" w:hAnsi="Tahoma" w:cs="Tahoma"/>
      <w:sz w:val="16"/>
      <w:szCs w:val="16"/>
    </w:rPr>
  </w:style>
  <w:style w:type="character" w:customStyle="1" w:styleId="BalloonTextChar">
    <w:name w:val="Balloon Text Char"/>
    <w:basedOn w:val="DefaultParagraphFont"/>
    <w:link w:val="BalloonText"/>
    <w:uiPriority w:val="99"/>
    <w:semiHidden/>
    <w:rsid w:val="00A912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50998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cid:image001.jpg@01CB91FC.658A75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ehlers-inc.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422</Words>
  <Characters>2410</Characters>
  <Application>Microsoft Office Word</Application>
  <DocSecurity>0</DocSecurity>
  <Lines>20</Lines>
  <Paragraphs>5</Paragraphs>
  <ScaleCrop>false</ScaleCrop>
  <Company> </Company>
  <LinksUpToDate>false</LinksUpToDate>
  <CharactersWithSpaces>2827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2010-12-10T00:43:00Z</dcterms:created>
  <dcterms:modified xsi:type="dcterms:W3CDTF">2010-12-10T00:44:00Z</dcterms:modified>
</cp:coreProperties>
</file>